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32"/>
          <w:szCs w:val="32"/>
        </w:rPr>
      </w:pPr>
      <w:r>
        <w:rPr>
          <w:sz w:val="32"/>
          <w:szCs w:val="32"/>
        </w:rPr>
      </w:r>
    </w:p>
    <w:tbl>
      <w:tblPr>
        <w:tblW w:w="9828" w:type="dxa"/>
        <w:jc w:val="left"/>
        <w:tblInd w:w="108" w:type="dxa"/>
        <w:tblLayout w:type="fixed"/>
        <w:tblCellMar>
          <w:top w:w="0" w:type="dxa"/>
          <w:left w:w="108" w:type="dxa"/>
          <w:bottom w:w="0" w:type="dxa"/>
          <w:right w:w="108" w:type="dxa"/>
        </w:tblCellMar>
        <w:tblLook w:val="04a0"/>
      </w:tblPr>
      <w:tblGrid>
        <w:gridCol w:w="9828"/>
      </w:tblGrid>
      <w:tr>
        <w:trPr>
          <w:cantSplit w:val="true"/>
        </w:trPr>
        <w:tc>
          <w:tcPr>
            <w:tcW w:w="9828" w:type="dxa"/>
            <w:tcBorders/>
          </w:tcPr>
          <w:p>
            <w:pPr>
              <w:pStyle w:val="12"/>
              <w:spacing w:lineRule="auto" w:line="276"/>
              <w:jc w:val="center"/>
              <w:rPr>
                <w:sz w:val="22"/>
                <w:szCs w:val="22"/>
              </w:rPr>
            </w:pPr>
            <w:r>
              <w:rPr/>
              <w:drawing>
                <wp:inline distT="0" distB="0" distL="0" distR="0">
                  <wp:extent cx="495300" cy="624840"/>
                  <wp:effectExtent l="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34leninsky_g"/>
                          <pic:cNvPicPr>
                            <a:picLocks noChangeAspect="1" noChangeArrowheads="1"/>
                          </pic:cNvPicPr>
                        </pic:nvPicPr>
                        <pic:blipFill>
                          <a:blip r:embed="rId2"/>
                          <a:stretch>
                            <a:fillRect/>
                          </a:stretch>
                        </pic:blipFill>
                        <pic:spPr bwMode="auto">
                          <a:xfrm>
                            <a:off x="0" y="0"/>
                            <a:ext cx="495300" cy="624840"/>
                          </a:xfrm>
                          <a:prstGeom prst="rect">
                            <a:avLst/>
                          </a:prstGeom>
                        </pic:spPr>
                      </pic:pic>
                    </a:graphicData>
                  </a:graphic>
                </wp:inline>
              </w:drawing>
            </w:r>
          </w:p>
        </w:tc>
      </w:tr>
      <w:tr>
        <w:trPr>
          <w:trHeight w:val="401" w:hRule="atLeast"/>
          <w:cantSplit w:val="true"/>
        </w:trPr>
        <w:tc>
          <w:tcPr>
            <w:tcW w:w="9828" w:type="dxa"/>
            <w:tcBorders/>
          </w:tcPr>
          <w:p>
            <w:pPr>
              <w:pStyle w:val="12"/>
              <w:spacing w:lineRule="auto" w:line="276"/>
              <w:jc w:val="center"/>
              <w:rPr>
                <w:rFonts w:ascii="Cambria" w:hAnsi="Cambria"/>
                <w:b/>
                <w:color w:val="FFFFFF"/>
                <w:sz w:val="22"/>
                <w:szCs w:val="22"/>
              </w:rPr>
            </w:pPr>
            <w:r>
              <w:rPr>
                <w:rFonts w:ascii="Cambria" w:hAnsi="Cambria"/>
                <w:b/>
                <w:color w:val="FFFFFF"/>
                <w:sz w:val="22"/>
                <w:szCs w:val="22"/>
                <w:highlight w:val="darkBlue"/>
              </w:rPr>
              <w:t>КОНТРОЛЬНО-СЧЕТНАЯ ПАЛАТА</w:t>
            </w:r>
          </w:p>
        </w:tc>
      </w:tr>
      <w:tr>
        <w:trPr>
          <w:trHeight w:val="1011" w:hRule="atLeast"/>
          <w:cantSplit w:val="true"/>
        </w:trPr>
        <w:tc>
          <w:tcPr>
            <w:tcW w:w="9828" w:type="dxa"/>
            <w:tcBorders>
              <w:bottom w:val="thinThickSmallGap" w:sz="18" w:space="0" w:color="000000"/>
            </w:tcBorders>
          </w:tcPr>
          <w:p>
            <w:pPr>
              <w:pStyle w:val="12"/>
              <w:spacing w:lineRule="auto" w:line="276"/>
              <w:jc w:val="center"/>
              <w:rPr>
                <w:rFonts w:ascii="Cambria" w:hAnsi="Cambria"/>
                <w:b/>
                <w:sz w:val="22"/>
                <w:szCs w:val="22"/>
              </w:rPr>
            </w:pPr>
            <w:r>
              <w:rPr>
                <w:rFonts w:ascii="Cambria" w:hAnsi="Cambria"/>
                <w:b/>
                <w:sz w:val="22"/>
                <w:szCs w:val="22"/>
              </w:rPr>
              <w:t>Ленинского муниципального района  Волгоградской области</w:t>
            </w:r>
          </w:p>
          <w:p>
            <w:pPr>
              <w:pStyle w:val="12"/>
              <w:spacing w:lineRule="auto" w:line="276"/>
              <w:jc w:val="center"/>
              <w:rPr>
                <w:rFonts w:ascii="Cambria" w:hAnsi="Cambria"/>
                <w:b/>
                <w:sz w:val="22"/>
                <w:szCs w:val="22"/>
              </w:rPr>
            </w:pPr>
            <w:r>
              <w:rPr>
                <w:rFonts w:ascii="Cambria" w:hAnsi="Cambria"/>
                <w:b/>
                <w:sz w:val="22"/>
                <w:szCs w:val="22"/>
              </w:rPr>
              <w:t xml:space="preserve"> </w:t>
            </w:r>
            <w:r>
              <w:rPr>
                <w:rFonts w:ascii="Cambria" w:hAnsi="Cambria"/>
                <w:b/>
                <w:sz w:val="22"/>
                <w:szCs w:val="22"/>
              </w:rPr>
              <w:t>ИНН 3415000099 КПП 341501001 ОГРН 1103454000561</w:t>
            </w:r>
          </w:p>
          <w:p>
            <w:pPr>
              <w:pStyle w:val="12"/>
              <w:spacing w:lineRule="auto" w:line="276"/>
              <w:jc w:val="center"/>
              <w:rPr>
                <w:sz w:val="22"/>
                <w:szCs w:val="22"/>
              </w:rPr>
            </w:pPr>
            <w:r>
              <w:rPr>
                <w:sz w:val="22"/>
                <w:szCs w:val="22"/>
              </w:rPr>
              <w:t>404620, Волгоградская область г.Ленинск ул. Ленина д.209</w:t>
            </w:r>
          </w:p>
          <w:p>
            <w:pPr>
              <w:pStyle w:val="12"/>
              <w:spacing w:lineRule="auto" w:line="276"/>
              <w:jc w:val="center"/>
              <w:rPr>
                <w:rFonts w:ascii="Cambria" w:hAnsi="Cambria"/>
                <w:b/>
                <w:sz w:val="22"/>
                <w:szCs w:val="22"/>
                <w:lang w:val="en-US"/>
              </w:rPr>
            </w:pPr>
            <w:r>
              <w:rPr>
                <w:sz w:val="22"/>
                <w:szCs w:val="22"/>
              </w:rPr>
              <w:t>тел</w:t>
            </w:r>
            <w:r>
              <w:rPr>
                <w:sz w:val="22"/>
                <w:szCs w:val="22"/>
                <w:lang w:val="en-US"/>
              </w:rPr>
              <w:t>. 8-84478-42747, e-mail: mololkina60@mail.ru</w:t>
            </w:r>
          </w:p>
        </w:tc>
      </w:tr>
    </w:tbl>
    <w:p>
      <w:pPr>
        <w:pStyle w:val="Normal"/>
        <w:jc w:val="both"/>
        <w:rPr>
          <w:sz w:val="26"/>
          <w:szCs w:val="26"/>
        </w:rPr>
      </w:pPr>
      <w:r>
        <w:rPr>
          <w:sz w:val="26"/>
          <w:szCs w:val="26"/>
        </w:rPr>
      </w:r>
    </w:p>
    <w:p>
      <w:pPr>
        <w:pStyle w:val="Normal"/>
        <w:jc w:val="center"/>
        <w:rPr>
          <w:sz w:val="32"/>
          <w:szCs w:val="32"/>
        </w:rPr>
      </w:pPr>
      <w:r>
        <w:rPr>
          <w:sz w:val="32"/>
          <w:szCs w:val="32"/>
        </w:rPr>
      </w:r>
    </w:p>
    <w:p>
      <w:pPr>
        <w:pStyle w:val="Normal"/>
        <w:spacing w:lineRule="auto" w:line="240" w:before="0" w:after="0"/>
        <w:jc w:val="center"/>
        <w:rPr>
          <w:sz w:val="26"/>
          <w:szCs w:val="26"/>
        </w:rPr>
      </w:pPr>
      <w:r>
        <w:rPr>
          <w:rFonts w:cs="Times New Roman"/>
          <w:b/>
          <w:sz w:val="26"/>
          <w:szCs w:val="26"/>
        </w:rPr>
        <w:t>ИНФОРМАЦИЯ</w:t>
      </w:r>
    </w:p>
    <w:p>
      <w:pPr>
        <w:pStyle w:val="Normal"/>
        <w:jc w:val="center"/>
        <w:rPr>
          <w:sz w:val="26"/>
          <w:szCs w:val="26"/>
        </w:rPr>
      </w:pPr>
      <w:r>
        <w:rPr>
          <w:rFonts w:cs="Times New Roman"/>
          <w:b/>
          <w:sz w:val="26"/>
          <w:szCs w:val="26"/>
        </w:rPr>
        <w:t xml:space="preserve"> </w:t>
      </w:r>
      <w:r>
        <w:rPr>
          <w:rFonts w:cs="Times New Roman"/>
          <w:b/>
          <w:sz w:val="26"/>
          <w:szCs w:val="26"/>
        </w:rPr>
        <w:t>о результатах проверки</w:t>
      </w:r>
      <w:r>
        <w:rPr>
          <w:b/>
          <w:sz w:val="26"/>
          <w:szCs w:val="26"/>
        </w:rPr>
        <w:t xml:space="preserve"> законного и эффективного использования средств бюджета района в муниципальном казенном учреждении Ленинского муниципального района «Моставтотранс» за 2023 год.</w:t>
      </w:r>
    </w:p>
    <w:p>
      <w:pPr>
        <w:pStyle w:val="Normal"/>
        <w:jc w:val="center"/>
        <w:rPr>
          <w:b/>
          <w:sz w:val="26"/>
          <w:szCs w:val="26"/>
        </w:rPr>
      </w:pPr>
      <w:r>
        <w:rPr>
          <w:b/>
          <w:sz w:val="26"/>
          <w:szCs w:val="26"/>
        </w:rPr>
      </w:r>
    </w:p>
    <w:p>
      <w:pPr>
        <w:pStyle w:val="Normal"/>
        <w:jc w:val="both"/>
        <w:rPr>
          <w:b/>
          <w:sz w:val="26"/>
          <w:szCs w:val="26"/>
        </w:rPr>
      </w:pPr>
      <w:r>
        <w:rPr>
          <w:b/>
          <w:sz w:val="26"/>
          <w:szCs w:val="26"/>
        </w:rPr>
      </w:r>
    </w:p>
    <w:p>
      <w:pPr>
        <w:pStyle w:val="Normal"/>
        <w:jc w:val="both"/>
        <w:rPr>
          <w:sz w:val="26"/>
          <w:szCs w:val="26"/>
        </w:rPr>
      </w:pPr>
      <w:r>
        <w:rPr>
          <w:sz w:val="26"/>
          <w:szCs w:val="26"/>
        </w:rPr>
      </w:r>
    </w:p>
    <w:p>
      <w:pPr>
        <w:pStyle w:val="Normal"/>
        <w:ind w:firstLine="708"/>
        <w:jc w:val="both"/>
        <w:rPr>
          <w:sz w:val="26"/>
          <w:szCs w:val="26"/>
        </w:rPr>
      </w:pPr>
      <w:r>
        <w:rPr>
          <w:sz w:val="26"/>
          <w:szCs w:val="26"/>
        </w:rPr>
        <w:t>На основании распоряжения Контрольно-счетной палаты Ленинского муниципального района от 25.06.2024г.  № 33-р и удостоверений от 01.07.2024г. №16, №17 выданных Контрольно-счетной палатой  Ленинского муниципального района (далее – КСП), председателем и старшим инспектором проведена проверка законного и эффективного использования средств бюджета района в  муниципальном казенном учреждении Ленинского муниципального района «Моставтотранс» за 2023 год.</w:t>
      </w:r>
    </w:p>
    <w:p>
      <w:pPr>
        <w:pStyle w:val="Normal"/>
        <w:ind w:firstLine="708"/>
        <w:jc w:val="both"/>
        <w:rPr>
          <w:sz w:val="26"/>
          <w:szCs w:val="26"/>
        </w:rPr>
      </w:pPr>
      <w:r>
        <w:rPr>
          <w:spacing w:val="-4"/>
          <w:sz w:val="26"/>
          <w:szCs w:val="26"/>
        </w:rPr>
        <w:t xml:space="preserve">Проверка  -  начата: 01.07.2024 г.,    окончена: 02.08.2024 г. </w:t>
      </w:r>
    </w:p>
    <w:p>
      <w:pPr>
        <w:pStyle w:val="Normal"/>
        <w:ind w:firstLine="708"/>
        <w:jc w:val="both"/>
        <w:rPr>
          <w:sz w:val="26"/>
          <w:szCs w:val="26"/>
        </w:rPr>
      </w:pPr>
      <w:r>
        <w:rPr>
          <w:spacing w:val="-4"/>
          <w:sz w:val="26"/>
          <w:szCs w:val="26"/>
        </w:rPr>
        <w:t>Метод проверки: выборочный.</w:t>
      </w:r>
    </w:p>
    <w:p>
      <w:pPr>
        <w:pStyle w:val="Normal"/>
        <w:shd w:val="clear" w:color="auto" w:fill="FFFFFF"/>
        <w:spacing w:lineRule="auto" w:line="240" w:before="0" w:after="0"/>
        <w:jc w:val="both"/>
        <w:rPr>
          <w:sz w:val="26"/>
          <w:szCs w:val="26"/>
        </w:rPr>
      </w:pPr>
      <w:r>
        <w:rPr>
          <w:rFonts w:eastAsia="Times New Roman" w:cs="Times New Roman"/>
          <w:sz w:val="26"/>
          <w:szCs w:val="26"/>
        </w:rPr>
        <w:t>По результату проверки установлено следующее:</w:t>
      </w:r>
    </w:p>
    <w:p>
      <w:pPr>
        <w:pStyle w:val="Normal"/>
        <w:shd w:val="clear" w:color="auto" w:fill="FFFFFF"/>
        <w:spacing w:lineRule="auto" w:line="240" w:before="0" w:after="0"/>
        <w:ind w:firstLine="708"/>
        <w:jc w:val="both"/>
        <w:rPr>
          <w:sz w:val="26"/>
          <w:szCs w:val="26"/>
        </w:rPr>
      </w:pPr>
      <w:r>
        <w:rPr>
          <w:rFonts w:cs="Times New Roman"/>
          <w:sz w:val="26"/>
          <w:szCs w:val="26"/>
        </w:rPr>
        <w:t xml:space="preserve">1. К проверке представлен Устав Учреждения, </w:t>
      </w:r>
      <w:r>
        <w:rPr>
          <w:rFonts w:cs="Times New Roman"/>
          <w:bCs/>
          <w:spacing w:val="1"/>
          <w:w w:val="101"/>
          <w:sz w:val="26"/>
          <w:szCs w:val="26"/>
        </w:rPr>
        <w:t>утвержденный постановлением Администрации Ленинского муниципального района от 29.08.2011г. № 692 (с внесенными изменениями)</w:t>
      </w:r>
      <w:r>
        <w:rPr>
          <w:rFonts w:cs="Times New Roman"/>
          <w:sz w:val="26"/>
          <w:szCs w:val="26"/>
        </w:rPr>
        <w:t xml:space="preserve">.  </w:t>
      </w:r>
      <w:r>
        <w:rPr>
          <w:rFonts w:cs="Times New Roman"/>
          <w:bCs/>
          <w:spacing w:val="1"/>
          <w:w w:val="101"/>
          <w:sz w:val="26"/>
          <w:szCs w:val="26"/>
        </w:rPr>
        <w:t xml:space="preserve">Согласно Устава общее руководство ЕДДС осуществляет </w:t>
      </w:r>
      <w:r>
        <w:rPr>
          <w:rFonts w:cs="Times New Roman"/>
          <w:b/>
          <w:bCs/>
          <w:spacing w:val="1"/>
          <w:w w:val="101"/>
          <w:sz w:val="26"/>
          <w:szCs w:val="26"/>
        </w:rPr>
        <w:t>глава администрации</w:t>
      </w:r>
      <w:r>
        <w:rPr>
          <w:rFonts w:cs="Times New Roman"/>
          <w:bCs/>
          <w:spacing w:val="1"/>
          <w:w w:val="101"/>
          <w:sz w:val="26"/>
          <w:szCs w:val="26"/>
        </w:rPr>
        <w:t xml:space="preserve"> Ленинского муниципального района. Однако, согласно ст. 15 Устава Ленинского муниципального района, </w:t>
      </w:r>
      <w:r>
        <w:rPr>
          <w:rFonts w:cs="Times New Roman"/>
          <w:sz w:val="26"/>
          <w:szCs w:val="26"/>
          <w:shd w:fill="FFFFFF" w:val="clear"/>
        </w:rPr>
        <w:t xml:space="preserve">принятого решением Ленинской районной Думы Волгоградской области от 26 мая 2005 г. N 58/264, в структуре </w:t>
      </w:r>
      <w:r>
        <w:rPr>
          <w:rFonts w:cs="Times New Roman"/>
          <w:sz w:val="26"/>
          <w:szCs w:val="26"/>
        </w:rPr>
        <w:t xml:space="preserve">органов местного самоуправления Ленинского </w:t>
      </w:r>
      <w:r>
        <w:rPr>
          <w:rFonts w:cs="Times New Roman"/>
          <w:bCs/>
          <w:sz w:val="26"/>
          <w:szCs w:val="26"/>
        </w:rPr>
        <w:t>муниципального района звучит «</w:t>
      </w:r>
      <w:r>
        <w:rPr>
          <w:rFonts w:cs="Times New Roman"/>
          <w:b/>
          <w:sz w:val="26"/>
          <w:szCs w:val="26"/>
        </w:rPr>
        <w:t xml:space="preserve">глава Ленинского </w:t>
      </w:r>
      <w:r>
        <w:rPr>
          <w:rFonts w:cs="Times New Roman"/>
          <w:b/>
          <w:bCs/>
          <w:sz w:val="26"/>
          <w:szCs w:val="26"/>
        </w:rPr>
        <w:t xml:space="preserve">муниципального района </w:t>
      </w:r>
      <w:r>
        <w:rPr>
          <w:rFonts w:cs="Times New Roman"/>
          <w:sz w:val="26"/>
          <w:szCs w:val="26"/>
        </w:rPr>
        <w:t>Волгоградской области».</w:t>
      </w:r>
    </w:p>
    <w:p>
      <w:pPr>
        <w:pStyle w:val="Heading1"/>
        <w:spacing w:before="0" w:after="0"/>
        <w:ind w:firstLine="708"/>
        <w:jc w:val="both"/>
        <w:rPr>
          <w:sz w:val="26"/>
          <w:szCs w:val="26"/>
        </w:rPr>
      </w:pPr>
      <w:r>
        <w:rPr>
          <w:rFonts w:ascii="Times New Roman" w:hAnsi="Times New Roman"/>
          <w:b w:val="false"/>
          <w:sz w:val="26"/>
          <w:szCs w:val="26"/>
        </w:rPr>
        <w:t xml:space="preserve">В п. 6.1. Устава звучит «Учреждение разрабатывает план финансово-хозяйственной деятельности», тогда как </w:t>
      </w:r>
      <w:r>
        <w:rPr>
          <w:rFonts w:ascii="Times New Roman" w:hAnsi="Times New Roman"/>
          <w:b w:val="false"/>
          <w:sz w:val="26"/>
          <w:szCs w:val="26"/>
          <w:shd w:fill="FFFFFF" w:val="clear"/>
        </w:rPr>
        <w:t>в соответствии со ст. 161, 221 Бюджетного кодекса РФ, финансовое обеспечение деятельности казенного учреждения</w:t>
      </w:r>
      <w:r>
        <w:rPr>
          <w:rFonts w:ascii="Times New Roman" w:hAnsi="Times New Roman"/>
          <w:b w:val="false"/>
          <w:sz w:val="26"/>
          <w:szCs w:val="26"/>
        </w:rPr>
        <w:t xml:space="preserve"> осуществляется на основании бюджетной сметы, утвержденной в порядке, определенном главным распорядителем бюджетных средств, в соответствии с действующим законодательством и муниципальными правовыми актами. </w:t>
      </w:r>
    </w:p>
    <w:p>
      <w:pPr>
        <w:pStyle w:val="Normal"/>
        <w:spacing w:lineRule="auto" w:line="240" w:before="0" w:after="0"/>
        <w:ind w:firstLine="708"/>
        <w:jc w:val="both"/>
        <w:rPr>
          <w:sz w:val="26"/>
          <w:szCs w:val="26"/>
        </w:rPr>
      </w:pPr>
      <w:r>
        <w:rPr>
          <w:rFonts w:cs="Times New Roman"/>
          <w:sz w:val="26"/>
          <w:szCs w:val="26"/>
        </w:rPr>
        <w:t>2. Проверкой штатных расписаний на 01.01.2023г., на 01.05.2023г., на 01.09.2023г. и на 01.12.2023г., установлены следующие замечания:</w:t>
      </w:r>
    </w:p>
    <w:p>
      <w:pPr>
        <w:pStyle w:val="Normal"/>
        <w:spacing w:lineRule="auto" w:line="240" w:before="0" w:after="0"/>
        <w:ind w:firstLine="708"/>
        <w:jc w:val="both"/>
        <w:rPr>
          <w:sz w:val="26"/>
          <w:szCs w:val="26"/>
        </w:rPr>
      </w:pPr>
      <w:r>
        <w:rPr>
          <w:rFonts w:cs="Times New Roman"/>
          <w:spacing w:val="-2"/>
          <w:sz w:val="26"/>
          <w:szCs w:val="26"/>
        </w:rPr>
        <w:t>- во всех штатных расписаниях, установленный директору повышающий коэффициент в размере 1,9 отсутствует в графе «повышающий коэффициент», а  стоит в графе «интенсивность» в размере 190,0%.</w:t>
      </w:r>
    </w:p>
    <w:p>
      <w:pPr>
        <w:pStyle w:val="Normal"/>
        <w:spacing w:lineRule="auto" w:line="240" w:before="0" w:after="0"/>
        <w:ind w:firstLine="708"/>
        <w:jc w:val="both"/>
        <w:rPr>
          <w:sz w:val="26"/>
          <w:szCs w:val="26"/>
        </w:rPr>
      </w:pPr>
      <w:r>
        <w:rPr>
          <w:rFonts w:cs="Times New Roman"/>
          <w:spacing w:val="-2"/>
          <w:sz w:val="26"/>
          <w:szCs w:val="26"/>
        </w:rPr>
        <w:t xml:space="preserve">- в штатных расписаниях утвержден повышающий коэффициент в одном размере, тогда как фактически производится в другом размере. </w:t>
      </w:r>
    </w:p>
    <w:p>
      <w:pPr>
        <w:pStyle w:val="Normal"/>
        <w:spacing w:lineRule="auto" w:line="240" w:before="0" w:after="0"/>
        <w:ind w:firstLine="708"/>
        <w:jc w:val="both"/>
        <w:rPr>
          <w:sz w:val="26"/>
          <w:szCs w:val="26"/>
        </w:rPr>
      </w:pPr>
      <w:r>
        <w:rPr>
          <w:rFonts w:cs="Times New Roman"/>
          <w:spacing w:val="-2"/>
          <w:sz w:val="26"/>
          <w:szCs w:val="26"/>
        </w:rPr>
        <w:t>Так, согласно приказа Учреждения от 30.12.2022г. №114-ОД «О предоставлении выплат работникам стимулирующего характера» всем уборщикам служебных помещений установлен повышающий коэффициент в размере 157,0 %, заведующему хозяйственной частью 172,0%, тогда как согласно штатного расписания на 01.01.2023г. утвержден в размере: уборщикам служебных помещений 1,8;  заведующему хозяйственной частью 2,0.</w:t>
      </w:r>
    </w:p>
    <w:p>
      <w:pPr>
        <w:pStyle w:val="Normal"/>
        <w:spacing w:lineRule="auto" w:line="240" w:before="0" w:after="0"/>
        <w:ind w:firstLine="708"/>
        <w:jc w:val="both"/>
        <w:rPr>
          <w:sz w:val="26"/>
          <w:szCs w:val="26"/>
        </w:rPr>
      </w:pPr>
      <w:r>
        <w:rPr>
          <w:rFonts w:cs="Times New Roman"/>
          <w:spacing w:val="-2"/>
          <w:sz w:val="26"/>
          <w:szCs w:val="26"/>
        </w:rPr>
        <w:t xml:space="preserve">Согласно </w:t>
      </w:r>
      <w:r>
        <w:rPr>
          <w:rFonts w:cs="Times New Roman"/>
          <w:sz w:val="26"/>
          <w:szCs w:val="26"/>
        </w:rPr>
        <w:t>Положениям об оплате труда работников Учреждения,  утвержденных приказами Учреждения от 11.02.2022 №12/1-ОД и от 31.08.2023 №63/2-ОД рекомендуемый размер повышающего коэффициента к базовым (минимальным) размерам окладов установлен в фиксированной величине до 2,0, тогда как согласно вышеназванного приказа Учреждения установлен в процентах.</w:t>
      </w:r>
    </w:p>
    <w:p>
      <w:pPr>
        <w:pStyle w:val="Normal"/>
        <w:spacing w:lineRule="auto" w:line="240" w:before="0" w:after="0"/>
        <w:ind w:firstLine="708"/>
        <w:jc w:val="both"/>
        <w:rPr>
          <w:sz w:val="26"/>
          <w:szCs w:val="26"/>
        </w:rPr>
      </w:pPr>
      <w:r>
        <w:rPr>
          <w:rFonts w:cs="Times New Roman"/>
          <w:sz w:val="26"/>
          <w:szCs w:val="26"/>
        </w:rPr>
        <w:t>3. В ходе анализа соответствия принятых Положений об оплате труда работников Учреждения,  утвержденных приказами Учреждения от 11.02.2022 №12/1-ОД и от 31.08.2023 №63/2-ОД  Общим  требованиям к положениям об оплате труда, утвержденных постановлением Администрации Ленинского муниципального района от 24.03.2020г. №132 установлены следующие несоответствия:</w:t>
      </w:r>
    </w:p>
    <w:p>
      <w:pPr>
        <w:pStyle w:val="Normal"/>
        <w:spacing w:lineRule="auto" w:line="240" w:before="0" w:after="0"/>
        <w:ind w:firstLine="709"/>
        <w:jc w:val="both"/>
        <w:rPr>
          <w:sz w:val="26"/>
          <w:szCs w:val="26"/>
        </w:rPr>
      </w:pPr>
      <w:r>
        <w:rPr>
          <w:rFonts w:cs="Times New Roman"/>
          <w:sz w:val="26"/>
          <w:szCs w:val="26"/>
        </w:rPr>
        <w:t>- в п. 5.3. вышеназванных Положений звучит «Должностные оклады заместителей руководителя учреждения, главного бухгалтера учреждения устанавливаются на 10-30 процентов ниже должностных окладов руководителя этого учреждения», тогда как, в п.10.4.  Общих требований к положениям об оплате труда, утвержденных постановлением №132, звучит «Должностные оклады заместителей руководителя учреждения, главного бухгалтера учреждения устанавливаются на 15-30 процентов ниже должностного оклада руководителя учреждения»;</w:t>
      </w:r>
    </w:p>
    <w:p>
      <w:pPr>
        <w:pStyle w:val="Normal"/>
        <w:spacing w:lineRule="auto" w:line="240" w:before="0" w:after="0"/>
        <w:ind w:firstLine="709"/>
        <w:jc w:val="both"/>
        <w:rPr>
          <w:sz w:val="26"/>
          <w:szCs w:val="26"/>
        </w:rPr>
      </w:pPr>
      <w:r>
        <w:rPr>
          <w:rFonts w:cs="Times New Roman"/>
          <w:sz w:val="26"/>
          <w:szCs w:val="26"/>
        </w:rPr>
        <w:t xml:space="preserve">- в п.4.1. вышеназванных Положений звучит «суммарный размер выплат по надбавкам, указанным в подпунктах 1,2 настоящего подпункта, не должен превышать 300 процентов оклада (должностного оклада), ставки в месяц.», тогда как в  п.9.1. Общих требований к положениям об оплате труда, утвержденных постановлением №132, звучит «Общий размер выплат стимулирующего характера, указанных в подпунктах 1,2 настоящего подпункта, не должен превышать 250 процентов оклада (должностного оклада), ставки в месяц.»; </w:t>
      </w:r>
    </w:p>
    <w:p>
      <w:pPr>
        <w:pStyle w:val="Normal"/>
        <w:spacing w:lineRule="auto" w:line="240" w:before="0" w:after="0"/>
        <w:ind w:firstLine="709"/>
        <w:jc w:val="both"/>
        <w:rPr>
          <w:sz w:val="26"/>
          <w:szCs w:val="26"/>
        </w:rPr>
      </w:pPr>
      <w:r>
        <w:rPr>
          <w:rFonts w:cs="Times New Roman"/>
          <w:sz w:val="26"/>
          <w:szCs w:val="26"/>
        </w:rPr>
        <w:t>- в п.11.1. Общих требований к положениям об оплате труда, утвержденных постановлением №132, звучит «Из фонда оплаты труда учреждения работникам (в том числе руководителю учреждения, его заместителям и главному бухгалтеру) может предоставляться материальная помощь в порядке и на условиях, определенных правовым актом учредителя, локальным нормативным актом учреждения и (или) коллективным договором.». Однако вышеназванными Положениями не предусмотрено предоставление материальной помощи, в том числе директору (выплата материальной помощи в 2023 году произведена директору в размере 2-х должностных окладов);</w:t>
      </w:r>
    </w:p>
    <w:p>
      <w:pPr>
        <w:pStyle w:val="Normal"/>
        <w:spacing w:lineRule="auto" w:line="240" w:before="0" w:after="0"/>
        <w:jc w:val="both"/>
        <w:rPr>
          <w:sz w:val="26"/>
          <w:szCs w:val="26"/>
        </w:rPr>
      </w:pPr>
      <w:r>
        <w:rPr>
          <w:rFonts w:cs="Times New Roman"/>
          <w:sz w:val="26"/>
          <w:szCs w:val="26"/>
        </w:rPr>
        <w:tab/>
        <w:t xml:space="preserve">- в п.9.1. Общих требований к положениям об оплате труда, утвержденных постановлением №132 звучит, что к выплатам стимулирующего характера работникам учреждений относятся премиальные выплаты по итогам работы (за  </w:t>
      </w:r>
      <w:r>
        <w:rPr>
          <w:rFonts w:cs="Times New Roman"/>
          <w:b/>
          <w:sz w:val="26"/>
          <w:szCs w:val="26"/>
        </w:rPr>
        <w:t>месяц,</w:t>
      </w:r>
      <w:r>
        <w:rPr>
          <w:rFonts w:cs="Times New Roman"/>
          <w:sz w:val="26"/>
          <w:szCs w:val="26"/>
        </w:rPr>
        <w:t xml:space="preserve"> квартал, год), тогда как согласноп.4.1. вышеназванных Положений предусмотрена премия по итогам работы (за  квартал, год), т.е. не предусмотрена выплата премии по итогам работы за месяц. В тоже время, согласно штатным расписаниям Учреждения, в </w:t>
      </w:r>
      <w:r>
        <w:rPr>
          <w:rFonts w:cs="Times New Roman"/>
          <w:b/>
          <w:sz w:val="26"/>
          <w:szCs w:val="26"/>
        </w:rPr>
        <w:t>месячный фонд</w:t>
      </w:r>
      <w:r>
        <w:rPr>
          <w:rFonts w:cs="Times New Roman"/>
          <w:sz w:val="26"/>
          <w:szCs w:val="26"/>
        </w:rPr>
        <w:t xml:space="preserve"> заработной платы работникам Учреждений включена премия в размере 25,0% должностного оклада. </w:t>
      </w:r>
    </w:p>
    <w:p>
      <w:pPr>
        <w:pStyle w:val="Normal"/>
        <w:spacing w:lineRule="auto" w:line="240" w:before="0" w:after="0"/>
        <w:ind w:firstLine="709"/>
        <w:jc w:val="both"/>
        <w:rPr>
          <w:sz w:val="26"/>
          <w:szCs w:val="26"/>
        </w:rPr>
      </w:pPr>
      <w:r>
        <w:rPr>
          <w:rFonts w:cs="Times New Roman"/>
          <w:sz w:val="26"/>
          <w:szCs w:val="26"/>
        </w:rPr>
        <w:t>4. В 2023 году необоснованно получено премии и доплаты за сложность и напряженность в размере 38929,84 руб., которые в ходе проверки внесены работниками в кассу Учреждения. За 2024 год необоснованно получено работниками доплаты за сложность и напряженность на сумму 17786,46 руб., которые с согласия работника будут удерживаться из заработной платы ежемесячно до погашения.</w:t>
      </w:r>
    </w:p>
    <w:p>
      <w:pPr>
        <w:pStyle w:val="Normal"/>
        <w:spacing w:lineRule="auto" w:line="240" w:before="0" w:after="0"/>
        <w:ind w:firstLine="709"/>
        <w:jc w:val="both"/>
        <w:rPr>
          <w:sz w:val="26"/>
          <w:szCs w:val="26"/>
        </w:rPr>
      </w:pPr>
      <w:r>
        <w:rPr>
          <w:rFonts w:cs="Times New Roman"/>
          <w:bCs/>
          <w:sz w:val="26"/>
          <w:szCs w:val="26"/>
        </w:rPr>
        <w:t xml:space="preserve">5. Согласно </w:t>
      </w:r>
      <w:r>
        <w:rPr>
          <w:rFonts w:cs="Times New Roman"/>
          <w:sz w:val="26"/>
          <w:szCs w:val="26"/>
        </w:rPr>
        <w:t>Положений об оплате труда работников Учреждения,  утвержденных приказами Учреждения от 11.02.2022 №12/1-ОД и от 31.08.2023 №63/2-ОД, при определении размера персонального повышающего коэффициента к окладу следует учитывать уровень профессиональной подготовленности работника, сложность и важность выполняемой работы, степень самостоятельности и ответственности и другие факторы. Однако в ходе проверки установлено, что  при установлении персональных повышающих коэффициентов работникам Учреждения, данные факторы не учитываются. Подтверждением является установление персональных повышающих коэффициентов заведующему хозяйственной частью 1,72, уборщикам служебных помещений 1,57, тогда как главному бухгалтеру 1,28 и т.д.</w:t>
      </w:r>
    </w:p>
    <w:p>
      <w:pPr>
        <w:pStyle w:val="Normal"/>
        <w:tabs>
          <w:tab w:val="clear" w:pos="708"/>
          <w:tab w:val="left" w:pos="900" w:leader="none"/>
        </w:tabs>
        <w:spacing w:lineRule="auto" w:line="240" w:before="0" w:after="0"/>
        <w:jc w:val="both"/>
        <w:rPr>
          <w:sz w:val="26"/>
          <w:szCs w:val="26"/>
        </w:rPr>
      </w:pPr>
      <w:r>
        <w:rPr>
          <w:rFonts w:cs="Times New Roman"/>
          <w:sz w:val="26"/>
          <w:szCs w:val="26"/>
        </w:rPr>
        <w:tab/>
        <w:t xml:space="preserve">6. В ходе выборочной проверки карточек – справок за 2023 год (ф. 0504417), установлено, что в </w:t>
      </w:r>
      <w:r>
        <w:rPr>
          <w:rFonts w:eastAsia="Calibri" w:cs="Times New Roman"/>
          <w:sz w:val="26"/>
          <w:szCs w:val="26"/>
          <w:lang w:eastAsia="en-US"/>
        </w:rPr>
        <w:t xml:space="preserve">карточке-справке операторов дежурно-диспетчерской службы, слесарей в графе «Виды и суммы постоянных начислений на оплату труда, надбавок, доплат…» ночные и праздничные стоят в твердой сумме, тогда как данный вид доплат варьируется каждый месяц (ночные), а оплата праздничных производится не каждый месяц. </w:t>
      </w:r>
    </w:p>
    <w:p>
      <w:pPr>
        <w:pStyle w:val="Normal"/>
        <w:spacing w:lineRule="auto" w:line="240" w:before="0" w:after="0"/>
        <w:ind w:firstLine="709"/>
        <w:jc w:val="both"/>
        <w:rPr>
          <w:sz w:val="26"/>
          <w:szCs w:val="26"/>
        </w:rPr>
      </w:pPr>
      <w:r>
        <w:rPr>
          <w:rFonts w:cs="Times New Roman"/>
          <w:sz w:val="26"/>
          <w:szCs w:val="26"/>
        </w:rPr>
        <w:t>В карточке справке  звучит должность «Заведующий хозяйством», тогда как в штатном расписании утверждена должность «Заведующий хозяйственной частью».</w:t>
      </w:r>
    </w:p>
    <w:p>
      <w:pPr>
        <w:pStyle w:val="Normal"/>
        <w:shd w:val="clear" w:color="auto" w:fill="FFFFFF"/>
        <w:spacing w:lineRule="auto" w:line="240" w:before="0" w:after="0"/>
        <w:ind w:firstLine="708"/>
        <w:jc w:val="both"/>
        <w:rPr>
          <w:sz w:val="26"/>
          <w:szCs w:val="26"/>
        </w:rPr>
      </w:pPr>
      <w:bookmarkStart w:id="0" w:name="_GoBack"/>
      <w:bookmarkEnd w:id="0"/>
      <w:r>
        <w:rPr>
          <w:rFonts w:cs="Times New Roman"/>
          <w:sz w:val="26"/>
          <w:szCs w:val="26"/>
        </w:rPr>
        <w:t xml:space="preserve">7. </w:t>
      </w:r>
      <w:r>
        <w:rPr>
          <w:rFonts w:cs="Times New Roman"/>
          <w:sz w:val="26"/>
          <w:szCs w:val="26"/>
          <w:shd w:fill="FFFFFF" w:val="clear"/>
        </w:rPr>
        <w:t xml:space="preserve">Выборочной проверкой правильности заполнения путевых листов установлено, что Учреждение не руководствуется Приказом Министерства транспорта РФ от 28.09.2022 г. №390 «Об утверждении состава сведений, указанных в части 3 статьи 6 Федерального закона от 08.11.2007г. №259-ФЗ «Устав автомобильного транспорта и городского наземного электрического транспорта», и порядка оформления или формирования путевого листа» при оформлении путевых листов, и в путевых листах не отражены обязательные сведения о водителе (не указан СНИЛС и дата выдачи водительского удостоверения), не указаны вид перевозки </w:t>
      </w:r>
      <w:r>
        <w:rPr>
          <w:rFonts w:cs="Times New Roman"/>
          <w:sz w:val="26"/>
          <w:szCs w:val="26"/>
        </w:rPr>
        <w:t>(коммерческие, перевозка для собственных нужд, передвижение и работа специальных транспортных средств)</w:t>
      </w:r>
      <w:r>
        <w:rPr>
          <w:rFonts w:cs="Times New Roman"/>
          <w:sz w:val="26"/>
          <w:szCs w:val="26"/>
          <w:shd w:fill="FFFFFF" w:val="clear"/>
        </w:rPr>
        <w:t xml:space="preserve"> и вид сообщения </w:t>
      </w:r>
      <w:r>
        <w:rPr>
          <w:rFonts w:cs="Times New Roman"/>
          <w:sz w:val="26"/>
          <w:szCs w:val="26"/>
        </w:rPr>
        <w:t>(городское, пригородное, междугородное)</w:t>
      </w:r>
      <w:r>
        <w:rPr>
          <w:rFonts w:cs="Times New Roman"/>
          <w:sz w:val="26"/>
          <w:szCs w:val="26"/>
          <w:shd w:fill="FFFFFF" w:val="clear"/>
        </w:rPr>
        <w:t>.</w:t>
      </w:r>
    </w:p>
    <w:p>
      <w:pPr>
        <w:pStyle w:val="Normal"/>
        <w:spacing w:lineRule="auto" w:line="240" w:before="0" w:after="0"/>
        <w:ind w:firstLine="709"/>
        <w:jc w:val="both"/>
        <w:rPr/>
      </w:pPr>
      <w:r>
        <w:rPr>
          <w:rFonts w:cs="Times New Roman"/>
          <w:sz w:val="26"/>
          <w:szCs w:val="26"/>
        </w:rPr>
        <w:t>В соответствии с письмом Росстата от 03.02.2005 № ИУ-09-22/257 «О путевых листах», а также письмом Департамента налоговой и таможенно - тарифной политики Минфина РФ от 20.02.2006 № 03-03-04/1/129 «</w:t>
      </w:r>
      <w:r>
        <w:fldChar w:fldCharType="begin"/>
      </w:r>
      <w:r>
        <w:rPr>
          <w:sz w:val="26"/>
          <w:shd w:fill="FFFFFF" w:val="clear"/>
          <w:szCs w:val="26"/>
          <w:rFonts w:cs="Times New Roman"/>
        </w:rPr>
        <w:instrText xml:space="preserve"> HYPERLINK "https://internet.garant.ru/" \l "/document/12145434/paragraph/1/doclist/4668/1/0/0/JTVCJTdCJTIybmVlZF9jb3JyZWN0aW9uJTIyJTNBZmFsc2UlMkMlMjJjb250ZXh0JTIyJTNBJTIyJTVDdTA0M2YlNUN1MDQzOCU1Q3UwNDQxJTVDdTA0NGMlNUN1MDQzYyU1Q3UwNDNlJTIwJTVDdTA0MWMlNUN1MDQzOCU1Q3UwNDNkJTVDdTA0NDQlNUN1MDQzOCU1Q3UwN"</w:instrText>
      </w:r>
      <w:r>
        <w:rPr>
          <w:sz w:val="26"/>
          <w:shd w:fill="FFFFFF" w:val="clear"/>
          <w:szCs w:val="26"/>
          <w:rFonts w:cs="Times New Roman"/>
        </w:rPr>
        <w:fldChar w:fldCharType="separate"/>
      </w:r>
      <w:r>
        <w:rPr>
          <w:rFonts w:cs="Times New Roman"/>
          <w:sz w:val="26"/>
          <w:szCs w:val="26"/>
          <w:shd w:fill="FFFFFF" w:val="clear"/>
        </w:rPr>
        <w:t xml:space="preserve">О документальном подтверждении расходов, связанных с содержанием автомобилей,  используемых сотрудниками для выполнения ими служебных обязанностей» </w:t>
      </w:r>
      <w:r>
        <w:rPr>
          <w:sz w:val="26"/>
          <w:shd w:fill="FFFFFF" w:val="clear"/>
          <w:szCs w:val="26"/>
          <w:rFonts w:cs="Times New Roman"/>
        </w:rPr>
        <w:fldChar w:fldCharType="end"/>
      </w:r>
      <w:r>
        <w:rPr>
          <w:rFonts w:cs="Times New Roman"/>
          <w:sz w:val="26"/>
          <w:szCs w:val="26"/>
        </w:rPr>
        <w:t xml:space="preserve"> маршрут следования в путевом листе на оборотной стороне должен расписываться подробно по всем пунктам следования, однако в отдельных путевых листах маршрут следования не расписывался, либо звучит </w:t>
      </w:r>
      <w:r>
        <w:rPr>
          <w:rFonts w:cs="Times New Roman"/>
          <w:sz w:val="26"/>
          <w:szCs w:val="26"/>
          <w:shd w:fill="FFFFFF" w:val="clear"/>
        </w:rPr>
        <w:t xml:space="preserve">«по Ленинску», «по Волгограду» и др. </w:t>
      </w:r>
      <w:r>
        <w:rPr>
          <w:rFonts w:cs="Times New Roman"/>
          <w:sz w:val="26"/>
          <w:szCs w:val="26"/>
        </w:rPr>
        <w:t>(путевые листы легкового автомобиля №01 от 01.01.2023г., №45 от 13.07.2023г., №97 от 23.10.2023г., №80 от 19.12.2023г., и т.д.).</w:t>
      </w:r>
    </w:p>
    <w:p>
      <w:pPr>
        <w:pStyle w:val="Normal"/>
        <w:spacing w:lineRule="auto" w:line="240" w:before="0" w:after="0"/>
        <w:ind w:firstLine="709"/>
        <w:jc w:val="both"/>
        <w:rPr>
          <w:sz w:val="26"/>
          <w:szCs w:val="26"/>
        </w:rPr>
      </w:pPr>
      <w:r>
        <w:rPr>
          <w:rFonts w:cs="Times New Roman"/>
          <w:sz w:val="26"/>
          <w:szCs w:val="26"/>
        </w:rPr>
        <w:t xml:space="preserve">Отсутствие информации о пути следования транспортного средства, протяженности от организации до мест назначения (количество пройденных км), не подтверждает произведенные расходы, и не позволяют судить о том, что транспортное средство было использовано именно в служебных целях, как и невозможно, проконтролировать пробег автомобиля. </w:t>
      </w:r>
    </w:p>
    <w:p>
      <w:pPr>
        <w:pStyle w:val="Normal"/>
        <w:spacing w:lineRule="auto" w:line="240" w:before="0" w:after="0"/>
        <w:ind w:firstLine="709"/>
        <w:jc w:val="both"/>
        <w:rPr>
          <w:sz w:val="26"/>
          <w:szCs w:val="26"/>
        </w:rPr>
      </w:pPr>
      <w:r>
        <w:rPr>
          <w:rFonts w:cs="Times New Roman"/>
          <w:sz w:val="26"/>
          <w:szCs w:val="26"/>
        </w:rPr>
        <w:t xml:space="preserve">Имеют место случаи, когда на одного водителя в день оформлены 2 путевых листа на разные автомобили с указанием одинакового времени выезда и прибытия в гараж. </w:t>
      </w:r>
    </w:p>
    <w:p>
      <w:pPr>
        <w:pStyle w:val="Normal"/>
        <w:tabs>
          <w:tab w:val="clear" w:pos="708"/>
          <w:tab w:val="left" w:pos="3828" w:leader="none"/>
        </w:tabs>
        <w:spacing w:lineRule="auto" w:line="240" w:before="0" w:after="0"/>
        <w:ind w:firstLine="709"/>
        <w:jc w:val="both"/>
        <w:rPr>
          <w:sz w:val="26"/>
          <w:szCs w:val="26"/>
        </w:rPr>
      </w:pPr>
      <w:r>
        <w:rPr>
          <w:rFonts w:cs="Times New Roman"/>
          <w:sz w:val="26"/>
          <w:szCs w:val="26"/>
        </w:rPr>
        <w:t xml:space="preserve">8. В Журнале учета движения путевых листов имеют место случаи исправления данных путем применения корректирующей жидкости, что нарушает требования </w:t>
      </w:r>
      <w:r>
        <w:rPr>
          <w:rFonts w:cs="Times New Roman"/>
          <w:sz w:val="26"/>
          <w:szCs w:val="26"/>
          <w:shd w:fill="FFFFFF" w:val="clear"/>
        </w:rPr>
        <w:t xml:space="preserve">приказа Минфина России от 16 апреля 2021г. №62н «Об утверждении Федерального стандарта бухгалтерского учета ФСБУ 27/2021 «Документы и документооборот в бухгалтерском учете» в п.21 которого звучит, что исправление в документе бухгалтерского учета, составленном на бумажном носителе, производится путем зачеркивания ошибочного текста или суммы и указания исправленного текста или суммы над зачеркнутым, при этом указываются </w:t>
      </w:r>
      <w:r>
        <w:rPr>
          <w:rFonts w:cs="Times New Roman"/>
          <w:sz w:val="26"/>
          <w:szCs w:val="26"/>
        </w:rPr>
        <w:t>надпись «Исправлено», дата исправления, а также подписи лица вносящего исправление, с указанием должности, фамилии и инициалов.</w:t>
      </w:r>
    </w:p>
    <w:p>
      <w:pPr>
        <w:pStyle w:val="Normal"/>
        <w:spacing w:lineRule="auto" w:line="240" w:before="0" w:after="0"/>
        <w:ind w:firstLine="709"/>
        <w:jc w:val="both"/>
        <w:rPr/>
      </w:pPr>
      <w:r>
        <w:rPr>
          <w:rFonts w:cs="Times New Roman"/>
          <w:sz w:val="26"/>
          <w:szCs w:val="26"/>
        </w:rPr>
        <w:t xml:space="preserve">9. Выборочной проверкой представленных карточек учета работы автомобильных шин установлено, что пробег в карточки учета заносится не ежемесячно, а ежегодно при замене шин зимних на летние и наоборот, что не соответствует правилам эксплуатации автомобильных шин АЭ 001-04, утвержденных </w:t>
      </w:r>
      <w:hyperlink r:id="rId3">
        <w:r>
          <w:rPr>
            <w:rStyle w:val="Style19"/>
            <w:rFonts w:cs="Times New Roman"/>
            <w:b w:val="false"/>
            <w:color w:val="auto"/>
            <w:sz w:val="26"/>
            <w:szCs w:val="26"/>
          </w:rPr>
          <w:t>Распоряжением</w:t>
        </w:r>
      </w:hyperlink>
      <w:r>
        <w:rPr>
          <w:rFonts w:cs="Times New Roman"/>
          <w:b/>
          <w:sz w:val="26"/>
          <w:szCs w:val="26"/>
        </w:rPr>
        <w:t xml:space="preserve"> </w:t>
      </w:r>
      <w:r>
        <w:rPr>
          <w:rFonts w:cs="Times New Roman"/>
          <w:sz w:val="26"/>
          <w:szCs w:val="26"/>
        </w:rPr>
        <w:t>Минтранса РФ №АК-9-р.</w:t>
      </w:r>
    </w:p>
    <w:p>
      <w:pPr>
        <w:pStyle w:val="Normal"/>
        <w:widowControl w:val="false"/>
        <w:spacing w:lineRule="auto" w:line="240" w:before="0" w:after="0"/>
        <w:ind w:firstLine="709"/>
        <w:jc w:val="both"/>
        <w:rPr>
          <w:sz w:val="26"/>
          <w:szCs w:val="26"/>
        </w:rPr>
      </w:pPr>
      <w:r>
        <w:rPr>
          <w:rFonts w:cs="Times New Roman"/>
          <w:sz w:val="26"/>
          <w:szCs w:val="26"/>
        </w:rPr>
        <w:t>10. В нарушение Приказа  Минфина России от 30 марта  2015 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(далее – Приказ №52н):</w:t>
      </w:r>
    </w:p>
    <w:p>
      <w:pPr>
        <w:pStyle w:val="Normal"/>
        <w:tabs>
          <w:tab w:val="clear" w:pos="708"/>
          <w:tab w:val="left" w:pos="900" w:leader="none"/>
        </w:tabs>
        <w:spacing w:lineRule="auto" w:line="240" w:before="0" w:after="0"/>
        <w:jc w:val="both"/>
        <w:rPr>
          <w:sz w:val="26"/>
          <w:szCs w:val="26"/>
        </w:rPr>
      </w:pPr>
      <w:r>
        <w:rPr>
          <w:rFonts w:cs="Times New Roman"/>
          <w:sz w:val="26"/>
          <w:szCs w:val="26"/>
        </w:rPr>
        <w:tab/>
        <w:t xml:space="preserve">- в карточках – справках за 2023 год (ф. 0504417) не заполнены реквизиты: «квалификация, категория», в отдельных карточках-справках: «образование», «основной оклад (ставка)», в разделе «Отметки о приеме на работу и переводах», не во всех случаях проставлены «дата» и «номер» приказа о приеме на работу. В ходе выборочной проверки карточек – справок за 2023 год (ф. 0504417), установлено, что в </w:t>
      </w:r>
      <w:r>
        <w:rPr>
          <w:rFonts w:eastAsia="Calibri" w:cs="Times New Roman"/>
          <w:sz w:val="26"/>
          <w:szCs w:val="26"/>
          <w:lang w:eastAsia="en-US"/>
        </w:rPr>
        <w:t xml:space="preserve">карточке-справке операторов дежурно-диспетчерской службы, слесарей в графе «Виды и суммы постоянных начислений на оплату труда, надбавок, доплат…» ночные и праздничные стоят в твердой сумме, тогда как данный вид доплат варьируется каждый месяц (ночные), а оплата праздничных производится не каждый месяц. </w:t>
      </w:r>
      <w:r>
        <w:rPr>
          <w:rFonts w:cs="Times New Roman"/>
          <w:sz w:val="26"/>
          <w:szCs w:val="26"/>
        </w:rPr>
        <w:t>В карточке справке  звучит должность «Заведующий хозяйством», тогда как в штатном расписании утверждена должность «Заведующий хозяйственной частью»;</w:t>
      </w:r>
    </w:p>
    <w:p>
      <w:pPr>
        <w:pStyle w:val="BodyText"/>
        <w:spacing w:lineRule="auto" w:line="240" w:before="0" w:after="0"/>
        <w:ind w:firstLine="708"/>
        <w:jc w:val="both"/>
        <w:rPr>
          <w:sz w:val="26"/>
          <w:szCs w:val="26"/>
        </w:rPr>
      </w:pPr>
      <w:r>
        <w:rPr>
          <w:rFonts w:cs="Times New Roman"/>
          <w:sz w:val="26"/>
          <w:szCs w:val="26"/>
        </w:rPr>
        <w:t>- списание с учета транспортных средств произведено по актам по форме ОКУД 0306004, тогда как при списании транспортных средств применяется форма по ОКУД 0504105 «Акт о списании транспортного средства»;</w:t>
      </w:r>
    </w:p>
    <w:p>
      <w:pPr>
        <w:pStyle w:val="Normal"/>
        <w:widowControl w:val="false"/>
        <w:spacing w:lineRule="auto" w:line="240" w:before="0" w:after="0"/>
        <w:ind w:firstLine="709"/>
        <w:jc w:val="both"/>
        <w:rPr>
          <w:sz w:val="26"/>
          <w:szCs w:val="26"/>
        </w:rPr>
      </w:pPr>
      <w:r>
        <w:rPr>
          <w:rFonts w:cs="Times New Roman"/>
          <w:sz w:val="26"/>
          <w:szCs w:val="26"/>
        </w:rPr>
        <w:t>- на объекты основных средств заведены инвентарные карточки основных средств по форме 0504031, однако  форма и название представленной инвентарной карточки не соответствует утвержденной (следует инвентарная карточка учета нефинансовых активов);</w:t>
      </w:r>
    </w:p>
    <w:p>
      <w:pPr>
        <w:pStyle w:val="Normal"/>
        <w:widowControl w:val="false"/>
        <w:spacing w:lineRule="auto" w:line="240" w:before="0" w:after="0"/>
        <w:ind w:firstLine="709"/>
        <w:jc w:val="both"/>
        <w:rPr>
          <w:sz w:val="26"/>
          <w:szCs w:val="26"/>
        </w:rPr>
      </w:pPr>
      <w:r>
        <w:rPr>
          <w:rFonts w:cs="Times New Roman"/>
          <w:sz w:val="26"/>
          <w:szCs w:val="26"/>
        </w:rPr>
        <w:t>- инвентарные карточки основных средств (ф.0504031) в отдельных случаях не содержат информацию о заводском номере объекта, дате выпуска (изготовления) (автобус ГАЗ-322121, трапы), данные о назначении объекта, организации изготовителе, краткой индивидуальной характеристике объекта (на все объекты).</w:t>
      </w:r>
    </w:p>
    <w:p>
      <w:pPr>
        <w:pStyle w:val="Normal"/>
        <w:widowControl w:val="false"/>
        <w:suppressAutoHyphens w:val="true"/>
        <w:spacing w:lineRule="auto" w:line="240" w:before="0" w:after="0"/>
        <w:ind w:firstLine="709"/>
        <w:jc w:val="both"/>
        <w:rPr>
          <w:sz w:val="26"/>
          <w:szCs w:val="26"/>
        </w:rPr>
      </w:pPr>
      <w:r>
        <w:rPr>
          <w:rFonts w:cs="Times New Roman"/>
          <w:sz w:val="26"/>
          <w:szCs w:val="26"/>
        </w:rPr>
        <w:t xml:space="preserve">11. В ходе проведения инвентаризации установлено несоответствие наименования фактического наличия материальных ценностей с данными бюджетного учета. Так, под инвентарным номером 10110902291 в инвентаризационной ведомости указан «Ноутбук Lenovo», при этом фактически имеется Ноутбук </w:t>
      </w:r>
      <w:r>
        <w:rPr>
          <w:rFonts w:cs="Times New Roman"/>
          <w:sz w:val="26"/>
          <w:szCs w:val="26"/>
          <w:lang w:val="en-US"/>
        </w:rPr>
        <w:t>Samsung</w:t>
      </w:r>
      <w:r>
        <w:rPr>
          <w:rFonts w:cs="Times New Roman"/>
          <w:sz w:val="26"/>
          <w:szCs w:val="26"/>
        </w:rPr>
        <w:t xml:space="preserve">. </w:t>
      </w:r>
    </w:p>
    <w:p>
      <w:pPr>
        <w:pStyle w:val="BodyText"/>
        <w:spacing w:lineRule="auto" w:line="240" w:before="0" w:after="0"/>
        <w:ind w:firstLine="708" w:right="-30"/>
        <w:jc w:val="both"/>
        <w:rPr>
          <w:sz w:val="26"/>
          <w:szCs w:val="26"/>
        </w:rPr>
      </w:pPr>
      <w:r>
        <w:rPr>
          <w:rFonts w:cs="Times New Roman"/>
          <w:sz w:val="26"/>
          <w:szCs w:val="26"/>
        </w:rPr>
        <w:t>12. Задолженность по арендной плате за Всероссийской политической партией «Единая Россия» на 01.01.2024г. составила 4107,0 руб. На момент проверки задолженность не погашена.</w:t>
      </w:r>
    </w:p>
    <w:p>
      <w:pPr>
        <w:pStyle w:val="ListParagraph1"/>
        <w:tabs>
          <w:tab w:val="clear" w:pos="708"/>
          <w:tab w:val="left" w:pos="317" w:leader="none"/>
        </w:tabs>
        <w:spacing w:lineRule="auto" w:line="240" w:before="0" w:after="0"/>
        <w:ind w:firstLine="567" w:left="0"/>
        <w:jc w:val="both"/>
        <w:rPr>
          <w:sz w:val="26"/>
          <w:szCs w:val="26"/>
        </w:rPr>
      </w:pPr>
      <w:r>
        <w:rPr>
          <w:rFonts w:ascii="Times New Roman" w:hAnsi="Times New Roman"/>
          <w:sz w:val="26"/>
          <w:szCs w:val="26"/>
        </w:rPr>
        <w:t>13. В Приказе Учреждения №65-ОД от 22.06.2021г. «Об утверждении Положения о закупках  товаров, работ, услуг для обеспечения нужд МКУ ЛМР «Моставтотранс» в приложении №2  «Положение о контрактном управляющем» в разделе 2 «Функции и полномочия контрактного управляющего»  отражена статья 17 Федерального закона №44-ФЗ «Планы-закупок», которая утратила силу с 01.10.2019г.</w:t>
      </w:r>
    </w:p>
    <w:p>
      <w:pPr>
        <w:pStyle w:val="Normal"/>
        <w:spacing w:lineRule="auto" w:line="240" w:before="0" w:after="0"/>
        <w:ind w:firstLine="709"/>
        <w:jc w:val="both"/>
        <w:rPr>
          <w:sz w:val="26"/>
          <w:szCs w:val="26"/>
        </w:rPr>
      </w:pPr>
      <w:r>
        <w:rPr>
          <w:rFonts w:cs="Times New Roman"/>
          <w:sz w:val="26"/>
          <w:szCs w:val="26"/>
        </w:rPr>
        <w:t xml:space="preserve">14. Проверкой соответствия Учетной политики действующему законодательству установлено, что в ней не отражено применение федеральных стандартов, утвержденных приказами Минфина России, а также </w:t>
      </w:r>
      <w:r>
        <w:rPr>
          <w:rFonts w:cs="Times New Roman"/>
          <w:sz w:val="26"/>
          <w:szCs w:val="26"/>
          <w:shd w:fill="FFFFFF" w:val="clear"/>
        </w:rPr>
        <w:t>Указаний Банка России от 11.03.2014 N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и от 09.12.2019 N 5348-У "О правилах наличных расчетов",  Методических рекомендаций "Нормы расхода топлива и смазочных материалов на автомобильном транспорте", введенные в действие Распоряжением Минтранса России от 14.03.2008 N АМ-23-р 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утвержденная Приказом Минфина России от 28.12.2010 N 191н.</w:t>
      </w:r>
    </w:p>
    <w:p>
      <w:pPr>
        <w:pStyle w:val="Normal"/>
        <w:spacing w:lineRule="auto" w:line="240" w:before="0" w:after="0"/>
        <w:ind w:firstLine="708"/>
        <w:jc w:val="both"/>
        <w:rPr>
          <w:sz w:val="26"/>
          <w:szCs w:val="26"/>
        </w:rPr>
      </w:pPr>
      <w:r>
        <w:rPr>
          <w:rFonts w:cs="Times New Roman"/>
          <w:sz w:val="26"/>
          <w:szCs w:val="26"/>
          <w:shd w:fill="FFFFFF" w:val="clear"/>
        </w:rPr>
        <w:t>В нарушение п.349 Инструкции №157н в Учетной политике не определен перечень материальных ценностей, информация о которых отражается на забалансовом счете 09 "Запасные части к транспортным средствам, выданные взамен изношенных" (двигатели, аккумуляторы, шины и покрышки и т.п.).</w:t>
      </w:r>
    </w:p>
    <w:p>
      <w:pPr>
        <w:pStyle w:val="Normal"/>
        <w:spacing w:lineRule="auto" w:line="240" w:before="0" w:after="0"/>
        <w:ind w:firstLine="708"/>
        <w:jc w:val="both"/>
        <w:rPr>
          <w:sz w:val="26"/>
          <w:szCs w:val="26"/>
        </w:rPr>
      </w:pPr>
      <w:r>
        <w:rPr>
          <w:rFonts w:cs="Times New Roman"/>
          <w:sz w:val="26"/>
          <w:szCs w:val="26"/>
          <w:shd w:fill="FFFFFF" w:val="clear"/>
        </w:rPr>
        <w:t xml:space="preserve">В п.4.1. Учетной политике отражено применение забалансового счета 04 "Задолженность неплатежеспособных дебиторов", который не отражен в рабочем плане счетов в приложении №1 к Учетной политике. Кроме того, название забалансового счета 04 не соответствует п.339 Инструкции №157н (согласно инструкции №157н название забалансового счета 04 звучит: "Сомнительная задолженность"). </w:t>
      </w:r>
    </w:p>
    <w:p>
      <w:pPr>
        <w:pStyle w:val="Normal"/>
        <w:spacing w:lineRule="auto" w:line="240" w:before="0" w:after="0"/>
        <w:ind w:firstLine="708"/>
        <w:jc w:val="both"/>
        <w:rPr>
          <w:sz w:val="26"/>
          <w:szCs w:val="26"/>
        </w:rPr>
      </w:pPr>
      <w:r>
        <w:rPr>
          <w:rFonts w:cs="Times New Roman"/>
          <w:sz w:val="26"/>
          <w:szCs w:val="26"/>
          <w:shd w:fill="FFFFFF" w:val="clear"/>
        </w:rPr>
        <w:t>Также в</w:t>
      </w:r>
      <w:r>
        <w:rPr>
          <w:rFonts w:cs="Times New Roman"/>
          <w:sz w:val="26"/>
          <w:szCs w:val="26"/>
        </w:rPr>
        <w:t xml:space="preserve"> Учетной политике не разработан и не отражен порядок ведения кассовых операций, не установлены сроки проведения инвентаризации материальных запасов, не утверждены формы путевых листов и  форма карточки учета автомобильной шины, форма 0504105 «Акт о списании транспортных средств». </w:t>
      </w:r>
    </w:p>
    <w:p>
      <w:pPr>
        <w:pStyle w:val="Normal"/>
        <w:spacing w:lineRule="auto" w:line="240" w:before="0" w:after="0"/>
        <w:ind w:firstLine="708"/>
        <w:jc w:val="both"/>
        <w:rPr>
          <w:sz w:val="26"/>
          <w:szCs w:val="26"/>
        </w:rPr>
      </w:pPr>
      <w:r>
        <w:rPr>
          <w:rFonts w:eastAsia="Calibri" w:cs="Times New Roman"/>
          <w:sz w:val="26"/>
          <w:szCs w:val="26"/>
          <w:lang w:eastAsia="en-US"/>
        </w:rPr>
        <w:t xml:space="preserve">15. По результату проверки </w:t>
      </w:r>
      <w:r>
        <w:rPr>
          <w:rFonts w:cs="Times New Roman"/>
          <w:sz w:val="26"/>
          <w:szCs w:val="26"/>
        </w:rPr>
        <w:t>выписано представление об устранении установленных нарушений.</w:t>
      </w:r>
    </w:p>
    <w:p>
      <w:pPr>
        <w:pStyle w:val="Normal"/>
        <w:widowControl w:val="false"/>
        <w:spacing w:lineRule="auto" w:line="240" w:before="0" w:after="0"/>
        <w:ind w:firstLine="540"/>
        <w:jc w:val="both"/>
        <w:rPr>
          <w:rFonts w:ascii="Times New Roman" w:hAnsi="Times New Roman" w:cs="Times New Roman"/>
          <w:sz w:val="26"/>
          <w:szCs w:val="26"/>
        </w:rPr>
      </w:pPr>
      <w:r>
        <w:rPr>
          <w:rFonts w:cs="Times New Roman"/>
          <w:sz w:val="26"/>
          <w:szCs w:val="26"/>
        </w:rPr>
      </w:r>
    </w:p>
    <w:p>
      <w:pPr>
        <w:pStyle w:val="Normal"/>
        <w:ind w:firstLine="708"/>
        <w:jc w:val="both"/>
        <w:rPr>
          <w:sz w:val="26"/>
          <w:szCs w:val="26"/>
        </w:rPr>
      </w:pPr>
      <w:r>
        <w:rPr>
          <w:sz w:val="26"/>
          <w:szCs w:val="26"/>
        </w:rPr>
      </w:r>
    </w:p>
    <w:p>
      <w:pPr>
        <w:pStyle w:val="Normal"/>
        <w:ind w:firstLine="708"/>
        <w:jc w:val="both"/>
        <w:rPr>
          <w:sz w:val="26"/>
          <w:szCs w:val="26"/>
        </w:rPr>
      </w:pPr>
      <w:r>
        <w:rPr>
          <w:sz w:val="26"/>
          <w:szCs w:val="26"/>
        </w:rPr>
      </w:r>
    </w:p>
    <w:p>
      <w:pPr>
        <w:pStyle w:val="Normal"/>
        <w:rPr>
          <w:sz w:val="26"/>
          <w:szCs w:val="26"/>
        </w:rPr>
      </w:pPr>
      <w:r>
        <w:rPr>
          <w:sz w:val="26"/>
          <w:szCs w:val="26"/>
        </w:rPr>
        <w:t>Председатель Контрольно-счетной палаты</w:t>
      </w:r>
    </w:p>
    <w:p>
      <w:pPr>
        <w:pStyle w:val="Normal"/>
        <w:rPr>
          <w:sz w:val="26"/>
          <w:szCs w:val="26"/>
        </w:rPr>
      </w:pPr>
      <w:r>
        <w:rPr>
          <w:sz w:val="26"/>
          <w:szCs w:val="26"/>
        </w:rPr>
        <w:t>Ленинского муниципального района                                                         Т.В. Мололкина</w:t>
      </w:r>
    </w:p>
    <w:p>
      <w:pPr>
        <w:pStyle w:val="Normal"/>
        <w:rPr>
          <w:sz w:val="26"/>
          <w:szCs w:val="26"/>
        </w:rPr>
      </w:pPr>
      <w:r>
        <w:rPr>
          <w:sz w:val="26"/>
          <w:szCs w:val="26"/>
        </w:rPr>
      </w:r>
    </w:p>
    <w:p>
      <w:pPr>
        <w:pStyle w:val="Normal"/>
        <w:rPr>
          <w:sz w:val="26"/>
          <w:szCs w:val="26"/>
        </w:rPr>
      </w:pPr>
      <w:r>
        <w:rPr>
          <w:sz w:val="26"/>
          <w:szCs w:val="26"/>
        </w:rPr>
      </w:r>
    </w:p>
    <w:sectPr>
      <w:headerReference w:type="default" r:id="rId4"/>
      <w:footerReference w:type="default" r:id="rId5"/>
      <w:type w:val="nextPage"/>
      <w:pgSz w:w="11906" w:h="16838"/>
      <w:pgMar w:left="1474" w:right="737" w:gutter="0" w:header="709" w:top="766" w:footer="709" w:bottom="76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empora LGC Uni">
    <w:charset w:val="01"/>
    <w:family w:val="roman"/>
    <w:pitch w:val="variable"/>
  </w:font>
  <w:font w:name="Calibri">
    <w:charset w:val="01"/>
    <w:family w:val="roman"/>
    <w:pitch w:val="variable"/>
  </w:font>
  <w:font w:name="Times New Roman">
    <w:charset w:val="01"/>
    <w:family w:val="roman"/>
    <w:pitch w:val="variable"/>
  </w:font>
  <w:font w:name="Cambria">
    <w:charset w:val="01"/>
    <w:family w:val="roman"/>
    <w:pitch w:val="variable"/>
  </w:font>
  <w:font w:name="Tahoma">
    <w:charset w:val="01"/>
    <w:family w:val="roman"/>
    <w:pitch w:val="variable"/>
  </w:font>
  <w:font w:name="Arial">
    <w:charset w:val="01"/>
    <w:family w:val="roman"/>
    <w:pitch w:val="variable"/>
  </w:font>
  <w:font w:name="Open Sans">
    <w:charset w:val="01"/>
    <w:family w:val="roman"/>
    <w:pitch w:val="variable"/>
  </w:font>
  <w:font w:name="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mc:AlternateContent>
        <mc:Choice Requires="wps">
          <w:drawing>
            <wp:anchor behindDoc="1" distT="0" distB="0" distL="0" distR="0" simplePos="0" locked="0" layoutInCell="0" allowOverlap="1" relativeHeight="9">
              <wp:simplePos x="0" y="0"/>
              <wp:positionH relativeFrom="margin">
                <wp:align>center</wp:align>
              </wp:positionH>
              <wp:positionV relativeFrom="paragraph">
                <wp:posOffset>635</wp:posOffset>
              </wp:positionV>
              <wp:extent cx="76835" cy="173990"/>
              <wp:effectExtent l="0" t="0" r="0" b="0"/>
              <wp:wrapSquare wrapText="largest"/>
              <wp:docPr id="2" name="Врезка1"/>
              <a:graphic xmlns:a="http://schemas.openxmlformats.org/drawingml/2006/main">
                <a:graphicData uri="http://schemas.microsoft.com/office/word/2010/wordprocessingShape">
                  <wps:wsp>
                    <wps:cNvSpPr/>
                    <wps:spPr>
                      <a:xfrm>
                        <a:off x="0" y="0"/>
                        <a:ext cx="76680" cy="173880"/>
                      </a:xfrm>
                      <a:prstGeom prst="rect">
                        <a:avLst/>
                      </a:prstGeom>
                      <a:noFill/>
                      <a:ln w="0">
                        <a:noFill/>
                      </a:ln>
                    </wps:spPr>
                    <wps:style>
                      <a:lnRef idx="0"/>
                      <a:fillRef idx="0"/>
                      <a:effectRef idx="0"/>
                      <a:fontRef idx="minor"/>
                    </wps:style>
                    <wps:txbx>
                      <w:txbxContent>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txbxContent>
                    </wps:txbx>
                    <wps:bodyPr lIns="0" rIns="0" tIns="0" bIns="0" anchor="t">
                      <a:spAutoFit/>
                    </wps:bodyPr>
                  </wps:wsp>
                </a:graphicData>
              </a:graphic>
            </wp:anchor>
          </w:drawing>
        </mc:Choice>
        <mc:Fallback>
          <w:pict>
            <v:rect id="shape_0" ID="Врезка1" path="m0,0l-2147483645,0l-2147483645,-2147483646l0,-2147483646xe" fillcolor="white" stroked="f" o:allowincell="f" style="position:absolute;margin-left:239.3pt;margin-top:0.05pt;width:6pt;height:13.65pt;mso-wrap-style:square;v-text-anchor:top;mso-position-horizontal:center;mso-position-horizontal-relative:margin">
              <v:fill o:detectmouseclick="t" type="solid" color2="black" opacity="0"/>
              <v:stroke color="#3465a4" joinstyle="round" endcap="flat"/>
              <v:textbox>
                <w:txbxContent>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txbxContent>
              </v:textbox>
              <w10:wrap type="square" side="largest"/>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right="360"/>
      <w:rPr/>
    </w:pPr>
    <w:r>
      <w:rPr/>
    </w:r>
  </w:p>
</w:hdr>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0" w:semiHidden="0" w:unhideWhenUsed="0" w:qFormat="1"/>
    <w:lsdException w:name="Strong" w:uiPriority="22" w:semiHidden="0" w:unhideWhenUsed="0" w:qFormat="1"/>
    <w:lsdException w:name="Emphasis" w:uiPriority="0" w:semiHidden="0" w:unhideWhenUsed="0" w:qFormat="1"/>
    <w:lsdException w:name="Table Simple 1" w:uiPriority="0"/>
    <w:lsdException w:name="Table Grid" w:uiPriority="5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f092c"/>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Normal"/>
    <w:next w:val="Normal"/>
    <w:link w:val="1"/>
    <w:uiPriority w:val="9"/>
    <w:qFormat/>
    <w:rsid w:val="000f092c"/>
    <w:pPr>
      <w:keepNext w:val="true"/>
      <w:spacing w:before="240" w:after="60"/>
      <w:outlineLvl w:val="0"/>
    </w:pPr>
    <w:rPr>
      <w:rFonts w:ascii="Cambria" w:hAnsi="Cambria"/>
      <w:b/>
      <w:bCs/>
      <w:kern w:val="2"/>
      <w:sz w:val="32"/>
      <w:szCs w:val="32"/>
    </w:rPr>
  </w:style>
  <w:style w:type="paragraph" w:styleId="Heading2">
    <w:name w:val="Heading 2"/>
    <w:basedOn w:val="Normal"/>
    <w:next w:val="Normal"/>
    <w:link w:val="2"/>
    <w:uiPriority w:val="99"/>
    <w:qFormat/>
    <w:rsid w:val="000f092c"/>
    <w:pPr>
      <w:keepNext w:val="true"/>
      <w:outlineLvl w:val="1"/>
    </w:pPr>
    <w:rPr>
      <w:b/>
      <w:bCs/>
      <w:sz w:val="32"/>
      <w:szCs w:val="32"/>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
    <w:qFormat/>
    <w:rsid w:val="000f092c"/>
    <w:rPr>
      <w:rFonts w:ascii="Cambria" w:hAnsi="Cambria" w:eastAsia="Times New Roman" w:cs="Times New Roman"/>
      <w:b/>
      <w:bCs/>
      <w:kern w:val="2"/>
      <w:sz w:val="32"/>
      <w:szCs w:val="32"/>
      <w:lang w:eastAsia="ru-RU"/>
    </w:rPr>
  </w:style>
  <w:style w:type="character" w:styleId="2" w:customStyle="1">
    <w:name w:val="Заголовок 2 Знак"/>
    <w:basedOn w:val="DefaultParagraphFont"/>
    <w:uiPriority w:val="99"/>
    <w:qFormat/>
    <w:rsid w:val="000f092c"/>
    <w:rPr>
      <w:rFonts w:ascii="Times New Roman" w:hAnsi="Times New Roman" w:eastAsia="Times New Roman" w:cs="Times New Roman"/>
      <w:b/>
      <w:bCs/>
      <w:sz w:val="32"/>
      <w:szCs w:val="32"/>
      <w:lang w:eastAsia="ru-RU"/>
    </w:rPr>
  </w:style>
  <w:style w:type="character" w:styleId="Style12" w:customStyle="1">
    <w:name w:val="Верхний колонтитул Знак"/>
    <w:basedOn w:val="DefaultParagraphFont"/>
    <w:uiPriority w:val="99"/>
    <w:qFormat/>
    <w:rsid w:val="000f092c"/>
    <w:rPr>
      <w:rFonts w:ascii="Times New Roman" w:hAnsi="Times New Roman" w:eastAsia="Times New Roman" w:cs="Times New Roman"/>
      <w:sz w:val="24"/>
      <w:szCs w:val="24"/>
      <w:lang w:eastAsia="ru-RU"/>
    </w:rPr>
  </w:style>
  <w:style w:type="character" w:styleId="Pagenumber">
    <w:name w:val="page number"/>
    <w:basedOn w:val="DefaultParagraphFont"/>
    <w:uiPriority w:val="99"/>
    <w:qFormat/>
    <w:rsid w:val="000f092c"/>
    <w:rPr>
      <w:rFonts w:cs="Times New Roman"/>
    </w:rPr>
  </w:style>
  <w:style w:type="character" w:styleId="Style13" w:customStyle="1">
    <w:name w:val="Нижний колонтитул Знак"/>
    <w:basedOn w:val="DefaultParagraphFont"/>
    <w:uiPriority w:val="99"/>
    <w:qFormat/>
    <w:rsid w:val="000f092c"/>
    <w:rPr>
      <w:rFonts w:ascii="Times New Roman" w:hAnsi="Times New Roman" w:eastAsia="Times New Roman" w:cs="Times New Roman"/>
      <w:sz w:val="24"/>
      <w:szCs w:val="24"/>
      <w:lang w:eastAsia="ru-RU"/>
    </w:rPr>
  </w:style>
  <w:style w:type="character" w:styleId="Style14" w:customStyle="1">
    <w:name w:val="Основной текст с отступом Знак"/>
    <w:basedOn w:val="DefaultParagraphFont"/>
    <w:uiPriority w:val="99"/>
    <w:qFormat/>
    <w:rsid w:val="000f092c"/>
    <w:rPr>
      <w:rFonts w:ascii="Times New Roman" w:hAnsi="Times New Roman" w:eastAsia="Times New Roman" w:cs="Times New Roman"/>
      <w:sz w:val="20"/>
      <w:szCs w:val="20"/>
      <w:lang w:eastAsia="ru-RU"/>
    </w:rPr>
  </w:style>
  <w:style w:type="character" w:styleId="Style15" w:customStyle="1">
    <w:name w:val="Основной текст Знак"/>
    <w:basedOn w:val="DefaultParagraphFont"/>
    <w:uiPriority w:val="99"/>
    <w:qFormat/>
    <w:rsid w:val="000f092c"/>
    <w:rPr>
      <w:rFonts w:ascii="Times New Roman" w:hAnsi="Times New Roman" w:eastAsia="Times New Roman" w:cs="Times New Roman"/>
      <w:sz w:val="20"/>
      <w:szCs w:val="20"/>
      <w:lang w:eastAsia="ru-RU"/>
    </w:rPr>
  </w:style>
  <w:style w:type="character" w:styleId="3" w:customStyle="1">
    <w:name w:val="Основной текст с отступом 3 Знак"/>
    <w:basedOn w:val="DefaultParagraphFont"/>
    <w:link w:val="BodyTextIndent3"/>
    <w:uiPriority w:val="99"/>
    <w:qFormat/>
    <w:rsid w:val="000f092c"/>
    <w:rPr>
      <w:rFonts w:ascii="Times New Roman" w:hAnsi="Times New Roman" w:eastAsia="Times New Roman" w:cs="Times New Roman"/>
      <w:sz w:val="16"/>
      <w:szCs w:val="16"/>
      <w:lang w:eastAsia="ru-RU"/>
    </w:rPr>
  </w:style>
  <w:style w:type="character" w:styleId="31" w:customStyle="1">
    <w:name w:val="Основной текст 3 Знак"/>
    <w:basedOn w:val="DefaultParagraphFont"/>
    <w:link w:val="BodyText3"/>
    <w:uiPriority w:val="99"/>
    <w:qFormat/>
    <w:rsid w:val="000f092c"/>
    <w:rPr>
      <w:rFonts w:ascii="Times New Roman" w:hAnsi="Times New Roman" w:eastAsia="Times New Roman" w:cs="Times New Roman"/>
      <w:sz w:val="16"/>
      <w:szCs w:val="16"/>
      <w:lang w:eastAsia="ru-RU"/>
    </w:rPr>
  </w:style>
  <w:style w:type="character" w:styleId="21" w:customStyle="1">
    <w:name w:val="Основной текст 2 Знак"/>
    <w:basedOn w:val="DefaultParagraphFont"/>
    <w:link w:val="BodyText2"/>
    <w:uiPriority w:val="99"/>
    <w:qFormat/>
    <w:rsid w:val="000f092c"/>
    <w:rPr>
      <w:rFonts w:ascii="Times New Roman" w:hAnsi="Times New Roman" w:eastAsia="Times New Roman" w:cs="Times New Roman"/>
      <w:sz w:val="24"/>
      <w:szCs w:val="24"/>
      <w:lang w:eastAsia="ru-RU"/>
    </w:rPr>
  </w:style>
  <w:style w:type="character" w:styleId="BodyTextChar" w:customStyle="1">
    <w:name w:val="Body Text Char"/>
    <w:basedOn w:val="DefaultParagraphFont"/>
    <w:uiPriority w:val="99"/>
    <w:semiHidden/>
    <w:qFormat/>
    <w:locked/>
    <w:rsid w:val="000f092c"/>
    <w:rPr>
      <w:rFonts w:cs="Times New Roman"/>
      <w:lang w:val="ru-RU" w:eastAsia="ru-RU" w:bidi="ar-SA"/>
    </w:rPr>
  </w:style>
  <w:style w:type="character" w:styleId="Style16" w:customStyle="1">
    <w:name w:val="Подзаголовок Знак"/>
    <w:basedOn w:val="DefaultParagraphFont"/>
    <w:qFormat/>
    <w:rsid w:val="000f092c"/>
    <w:rPr>
      <w:rFonts w:ascii="Times New Roman" w:hAnsi="Times New Roman" w:eastAsia="Times New Roman" w:cs="Times New Roman"/>
      <w:i/>
      <w:iCs/>
      <w:sz w:val="28"/>
      <w:szCs w:val="20"/>
      <w:lang w:eastAsia="ar-SA"/>
    </w:rPr>
  </w:style>
  <w:style w:type="character" w:styleId="22" w:customStyle="1">
    <w:name w:val="Основной текст с отступом 2 Знак"/>
    <w:basedOn w:val="DefaultParagraphFont"/>
    <w:link w:val="BodyTextIndent2"/>
    <w:uiPriority w:val="99"/>
    <w:qFormat/>
    <w:rsid w:val="00336c65"/>
    <w:rPr>
      <w:rFonts w:ascii="Times New Roman" w:hAnsi="Times New Roman" w:eastAsia="Times New Roman" w:cs="Times New Roman"/>
      <w:sz w:val="24"/>
      <w:szCs w:val="24"/>
      <w:lang w:eastAsia="ru-RU"/>
    </w:rPr>
  </w:style>
  <w:style w:type="character" w:styleId="Style17" w:customStyle="1">
    <w:name w:val="Текст выноски Знак"/>
    <w:basedOn w:val="DefaultParagraphFont"/>
    <w:link w:val="BalloonText"/>
    <w:uiPriority w:val="99"/>
    <w:semiHidden/>
    <w:qFormat/>
    <w:rsid w:val="00925b10"/>
    <w:rPr>
      <w:rFonts w:ascii="Tahoma" w:hAnsi="Tahoma" w:eastAsia="Times New Roman" w:cs="Tahoma"/>
      <w:sz w:val="16"/>
      <w:szCs w:val="16"/>
      <w:lang w:eastAsia="ru-RU"/>
    </w:rPr>
  </w:style>
  <w:style w:type="character" w:styleId="Hyperlink">
    <w:name w:val="Hyperlink"/>
    <w:basedOn w:val="DefaultParagraphFont"/>
    <w:uiPriority w:val="99"/>
    <w:semiHidden/>
    <w:unhideWhenUsed/>
    <w:rsid w:val="00db1d41"/>
    <w:rPr>
      <w:strike w:val="false"/>
      <w:dstrike w:val="false"/>
      <w:color w:val="2060A4"/>
      <w:u w:val="none"/>
      <w:effect w:val="none"/>
    </w:rPr>
  </w:style>
  <w:style w:type="character" w:styleId="Apple-converted-space" w:customStyle="1">
    <w:name w:val="apple-converted-space"/>
    <w:basedOn w:val="DefaultParagraphFont"/>
    <w:qFormat/>
    <w:rsid w:val="00831e24"/>
    <w:rPr/>
  </w:style>
  <w:style w:type="character" w:styleId="Style18" w:customStyle="1">
    <w:name w:val="Цветовое выделение"/>
    <w:uiPriority w:val="99"/>
    <w:qFormat/>
    <w:rsid w:val="00b128d2"/>
    <w:rPr>
      <w:b/>
      <w:bCs/>
      <w:color w:val="26282F"/>
    </w:rPr>
  </w:style>
  <w:style w:type="character" w:styleId="Style19" w:customStyle="1">
    <w:name w:val="Гипертекстовая ссылка"/>
    <w:basedOn w:val="Style18"/>
    <w:qFormat/>
    <w:rsid w:val="00b128d2"/>
    <w:rPr>
      <w:color w:val="106BBE"/>
    </w:rPr>
  </w:style>
  <w:style w:type="character" w:styleId="S33" w:customStyle="1">
    <w:name w:val="s33"/>
    <w:basedOn w:val="DefaultParagraphFont"/>
    <w:qFormat/>
    <w:rsid w:val="00da1072"/>
    <w:rPr/>
  </w:style>
  <w:style w:type="character" w:styleId="Style20" w:customStyle="1">
    <w:name w:val="Без интервала Знак"/>
    <w:basedOn w:val="DefaultParagraphFont"/>
    <w:link w:val="NoSpacing"/>
    <w:qFormat/>
    <w:rsid w:val="00ae7e3a"/>
    <w:rPr>
      <w:rFonts w:ascii="Times New Roman" w:hAnsi="Times New Roman" w:eastAsia="Times New Roman" w:cs="Times New Roman"/>
      <w:sz w:val="24"/>
      <w:szCs w:val="24"/>
      <w:lang w:eastAsia="ru-RU"/>
    </w:rPr>
  </w:style>
  <w:style w:type="character" w:styleId="FontStyle38" w:customStyle="1">
    <w:name w:val="Font Style38"/>
    <w:qFormat/>
    <w:rsid w:val="00ae7e3a"/>
    <w:rPr>
      <w:rFonts w:ascii="Times New Roman" w:hAnsi="Times New Roman"/>
      <w:color w:val="000000"/>
      <w:sz w:val="22"/>
    </w:rPr>
  </w:style>
  <w:style w:type="character" w:styleId="Style21" w:customStyle="1">
    <w:name w:val="Цветовое выделение для Текст"/>
    <w:qFormat/>
    <w:rsid w:val="00ae7e3a"/>
    <w:rPr>
      <w:rFonts w:ascii="Arial" w:hAnsi="Arial"/>
      <w:sz w:val="26"/>
    </w:rPr>
  </w:style>
  <w:style w:type="character" w:styleId="Emphasis">
    <w:name w:val="Emphasis"/>
    <w:basedOn w:val="DefaultParagraphFont"/>
    <w:qFormat/>
    <w:rsid w:val="00ae7e3a"/>
    <w:rPr>
      <w:i/>
    </w:rPr>
  </w:style>
  <w:style w:type="paragraph" w:styleId="Style22">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link w:val="Style15"/>
    <w:uiPriority w:val="99"/>
    <w:rsid w:val="000f092c"/>
    <w:pPr>
      <w:widowControl w:val="false"/>
      <w:spacing w:before="0" w:after="120"/>
    </w:pPr>
    <w:rPr>
      <w:sz w:val="20"/>
      <w:szCs w:val="20"/>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Style23">
    <w:name w:val="Указатель"/>
    <w:basedOn w:val="Normal"/>
    <w:qFormat/>
    <w:pPr>
      <w:suppressLineNumbers/>
    </w:pPr>
    <w:rPr>
      <w:rFonts w:cs="Lohit Devanagari"/>
    </w:rPr>
  </w:style>
  <w:style w:type="paragraph" w:styleId="Style24">
    <w:name w:val="Колонтитул"/>
    <w:basedOn w:val="Normal"/>
    <w:qFormat/>
    <w:pPr/>
    <w:rPr/>
  </w:style>
  <w:style w:type="paragraph" w:styleId="Header">
    <w:name w:val="Header"/>
    <w:basedOn w:val="Normal"/>
    <w:link w:val="Style12"/>
    <w:uiPriority w:val="99"/>
    <w:rsid w:val="000f092c"/>
    <w:pPr>
      <w:tabs>
        <w:tab w:val="clear" w:pos="708"/>
        <w:tab w:val="center" w:pos="4677" w:leader="none"/>
        <w:tab w:val="right" w:pos="9355" w:leader="none"/>
      </w:tabs>
    </w:pPr>
    <w:rPr/>
  </w:style>
  <w:style w:type="paragraph" w:styleId="Footer">
    <w:name w:val="Footer"/>
    <w:basedOn w:val="Normal"/>
    <w:link w:val="Style13"/>
    <w:uiPriority w:val="99"/>
    <w:rsid w:val="000f092c"/>
    <w:pPr>
      <w:tabs>
        <w:tab w:val="clear" w:pos="708"/>
        <w:tab w:val="center" w:pos="4677" w:leader="none"/>
        <w:tab w:val="right" w:pos="9355" w:leader="none"/>
      </w:tabs>
    </w:pPr>
    <w:rPr/>
  </w:style>
  <w:style w:type="paragraph" w:styleId="BodyTextIndent">
    <w:name w:val="Body Text Indent"/>
    <w:basedOn w:val="Normal"/>
    <w:link w:val="Style14"/>
    <w:uiPriority w:val="99"/>
    <w:rsid w:val="000f092c"/>
    <w:pPr>
      <w:widowControl w:val="false"/>
      <w:spacing w:before="0" w:after="120"/>
      <w:ind w:left="283"/>
    </w:pPr>
    <w:rPr>
      <w:sz w:val="20"/>
      <w:szCs w:val="20"/>
    </w:rPr>
  </w:style>
  <w:style w:type="paragraph" w:styleId="BodyTextIndent3">
    <w:name w:val="Body Text Indent 3"/>
    <w:basedOn w:val="Normal"/>
    <w:link w:val="3"/>
    <w:uiPriority w:val="99"/>
    <w:qFormat/>
    <w:rsid w:val="000f092c"/>
    <w:pPr>
      <w:spacing w:before="0" w:after="120"/>
      <w:ind w:left="283"/>
    </w:pPr>
    <w:rPr>
      <w:sz w:val="16"/>
      <w:szCs w:val="16"/>
    </w:rPr>
  </w:style>
  <w:style w:type="paragraph" w:styleId="BodyText3">
    <w:name w:val="Body Text 3"/>
    <w:basedOn w:val="Normal"/>
    <w:link w:val="31"/>
    <w:uiPriority w:val="99"/>
    <w:qFormat/>
    <w:rsid w:val="000f092c"/>
    <w:pPr>
      <w:spacing w:before="0" w:after="120"/>
    </w:pPr>
    <w:rPr>
      <w:sz w:val="16"/>
      <w:szCs w:val="16"/>
    </w:rPr>
  </w:style>
  <w:style w:type="paragraph" w:styleId="BodyText2">
    <w:name w:val="Body Text 2"/>
    <w:basedOn w:val="Normal"/>
    <w:link w:val="21"/>
    <w:uiPriority w:val="99"/>
    <w:qFormat/>
    <w:rsid w:val="000f092c"/>
    <w:pPr>
      <w:spacing w:lineRule="auto" w:line="480" w:before="0" w:after="120"/>
    </w:pPr>
    <w:rPr/>
  </w:style>
  <w:style w:type="paragraph" w:styleId="11" w:customStyle="1">
    <w:name w:val="Основной текст с отступом1"/>
    <w:basedOn w:val="Normal"/>
    <w:uiPriority w:val="99"/>
    <w:qFormat/>
    <w:rsid w:val="000f092c"/>
    <w:pPr>
      <w:widowControl w:val="false"/>
      <w:spacing w:before="0" w:after="120"/>
      <w:ind w:left="283"/>
    </w:pPr>
    <w:rPr/>
  </w:style>
  <w:style w:type="paragraph" w:styleId="Subtitle">
    <w:name w:val="Subtitle"/>
    <w:basedOn w:val="Normal"/>
    <w:next w:val="BodyText"/>
    <w:link w:val="Style16"/>
    <w:qFormat/>
    <w:rsid w:val="000f092c"/>
    <w:pPr>
      <w:suppressAutoHyphens w:val="true"/>
      <w:ind w:right="-99"/>
      <w:jc w:val="center"/>
    </w:pPr>
    <w:rPr>
      <w:i/>
      <w:iCs/>
      <w:sz w:val="28"/>
      <w:szCs w:val="20"/>
      <w:lang w:eastAsia="ar-SA"/>
    </w:rPr>
  </w:style>
  <w:style w:type="paragraph" w:styleId="211" w:customStyle="1">
    <w:name w:val="Основной текст 21"/>
    <w:basedOn w:val="Normal"/>
    <w:qFormat/>
    <w:rsid w:val="000f092c"/>
    <w:pPr>
      <w:suppressAutoHyphens w:val="true"/>
    </w:pPr>
    <w:rPr>
      <w:sz w:val="28"/>
      <w:szCs w:val="20"/>
      <w:lang w:eastAsia="ar-SA"/>
    </w:rPr>
  </w:style>
  <w:style w:type="paragraph" w:styleId="ListParagraph">
    <w:name w:val="List Paragraph"/>
    <w:basedOn w:val="Normal"/>
    <w:uiPriority w:val="34"/>
    <w:qFormat/>
    <w:rsid w:val="00085c97"/>
    <w:pPr>
      <w:spacing w:before="0" w:after="0"/>
      <w:ind w:left="720"/>
      <w:contextualSpacing/>
    </w:pPr>
    <w:rPr/>
  </w:style>
  <w:style w:type="paragraph" w:styleId="ConsPlusNormal" w:customStyle="1">
    <w:name w:val="ConsPlusNormal"/>
    <w:qFormat/>
    <w:rsid w:val="007149d7"/>
    <w:pPr>
      <w:widowControl w:val="false"/>
      <w:suppressAutoHyphens w:val="tru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ConsNormal" w:customStyle="1">
    <w:name w:val="ConsNormal"/>
    <w:qFormat/>
    <w:rsid w:val="00fd6ea2"/>
    <w:pPr>
      <w:widowControl w:val="false"/>
      <w:suppressAutoHyphens w:val="true"/>
      <w:bidi w:val="0"/>
      <w:spacing w:lineRule="auto" w:line="240" w:before="0" w:after="0"/>
      <w:ind w:firstLine="720" w:right="19772"/>
      <w:jc w:val="left"/>
    </w:pPr>
    <w:rPr>
      <w:rFonts w:ascii="Arial" w:hAnsi="Arial" w:eastAsia="Times New Roman" w:cs="Arial"/>
      <w:color w:val="auto"/>
      <w:kern w:val="0"/>
      <w:sz w:val="20"/>
      <w:szCs w:val="20"/>
      <w:lang w:val="ru-RU" w:eastAsia="ru-RU" w:bidi="ar-SA"/>
    </w:rPr>
  </w:style>
  <w:style w:type="paragraph" w:styleId="BodyTextIndent2">
    <w:name w:val="Body Text Indent 2"/>
    <w:basedOn w:val="Normal"/>
    <w:link w:val="22"/>
    <w:uiPriority w:val="99"/>
    <w:unhideWhenUsed/>
    <w:qFormat/>
    <w:rsid w:val="00336c65"/>
    <w:pPr>
      <w:spacing w:lineRule="auto" w:line="480" w:before="0" w:after="120"/>
      <w:ind w:left="283"/>
    </w:pPr>
    <w:rPr/>
  </w:style>
  <w:style w:type="paragraph" w:styleId="ConsPlusNonformat" w:customStyle="1">
    <w:name w:val="ConsPlusNonformat"/>
    <w:uiPriority w:val="99"/>
    <w:qFormat/>
    <w:rsid w:val="007f04b9"/>
    <w:pPr>
      <w:widowControl/>
      <w:suppressAutoHyphens w:val="true"/>
      <w:bidi w:val="0"/>
      <w:spacing w:lineRule="auto" w:line="240" w:before="0" w:after="0"/>
      <w:jc w:val="left"/>
    </w:pPr>
    <w:rPr>
      <w:rFonts w:ascii="Courier New" w:hAnsi="Courier New" w:eastAsia="Calibri" w:cs="Courier New" w:eastAsiaTheme="minorHAnsi"/>
      <w:color w:val="auto"/>
      <w:kern w:val="0"/>
      <w:sz w:val="20"/>
      <w:szCs w:val="20"/>
      <w:lang w:val="ru-RU" w:eastAsia="en-US" w:bidi="ar-SA"/>
    </w:rPr>
  </w:style>
  <w:style w:type="paragraph" w:styleId="ConsPlusTitle" w:customStyle="1">
    <w:name w:val="ConsPlusTitle"/>
    <w:uiPriority w:val="99"/>
    <w:qFormat/>
    <w:rsid w:val="00481e80"/>
    <w:pPr>
      <w:widowControl w:val="false"/>
      <w:suppressAutoHyphens w:val="true"/>
      <w:bidi w:val="0"/>
      <w:spacing w:lineRule="auto" w:line="240" w:before="0" w:after="0"/>
      <w:jc w:val="left"/>
    </w:pPr>
    <w:rPr>
      <w:rFonts w:ascii="Calibri" w:hAnsi="Calibri" w:eastAsia="" w:cs="Calibri" w:eastAsiaTheme="minorEastAsia"/>
      <w:b/>
      <w:bCs/>
      <w:color w:val="auto"/>
      <w:kern w:val="0"/>
      <w:sz w:val="22"/>
      <w:szCs w:val="22"/>
      <w:lang w:val="ru-RU" w:eastAsia="ru-RU" w:bidi="ar-SA"/>
    </w:rPr>
  </w:style>
  <w:style w:type="paragraph" w:styleId="NoSpacing">
    <w:name w:val="No Spacing"/>
    <w:link w:val="Style20"/>
    <w:qFormat/>
    <w:rsid w:val="00a23614"/>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12" w:customStyle="1">
    <w:name w:val="Обычный1"/>
    <w:qFormat/>
    <w:rsid w:val="00925b10"/>
    <w:pPr>
      <w:widowControl w:val="false"/>
      <w:suppressAutoHyphens w:val="true"/>
      <w:bidi w:val="0"/>
      <w:snapToGrid w:val="false"/>
      <w:spacing w:lineRule="auto" w:line="240" w:before="0" w:after="0"/>
      <w:jc w:val="left"/>
    </w:pPr>
    <w:rPr>
      <w:rFonts w:ascii="Times New Roman" w:hAnsi="Times New Roman" w:eastAsia="Arial" w:cs="Times New Roman"/>
      <w:color w:val="auto"/>
      <w:kern w:val="0"/>
      <w:sz w:val="20"/>
      <w:szCs w:val="20"/>
      <w:lang w:val="ru-RU" w:eastAsia="ar-SA" w:bidi="ar-SA"/>
    </w:rPr>
  </w:style>
  <w:style w:type="paragraph" w:styleId="BalloonText">
    <w:name w:val="Balloon Text"/>
    <w:basedOn w:val="Normal"/>
    <w:link w:val="Style17"/>
    <w:uiPriority w:val="99"/>
    <w:semiHidden/>
    <w:unhideWhenUsed/>
    <w:qFormat/>
    <w:rsid w:val="00925b10"/>
    <w:pPr/>
    <w:rPr>
      <w:rFonts w:ascii="Tahoma" w:hAnsi="Tahoma" w:cs="Tahoma"/>
      <w:sz w:val="16"/>
      <w:szCs w:val="16"/>
    </w:rPr>
  </w:style>
  <w:style w:type="paragraph" w:styleId="NormalWeb">
    <w:name w:val="Normal (Web)"/>
    <w:basedOn w:val="Normal"/>
    <w:uiPriority w:val="99"/>
    <w:unhideWhenUsed/>
    <w:qFormat/>
    <w:rsid w:val="00cd112e"/>
    <w:pPr>
      <w:spacing w:beforeAutospacing="1" w:afterAutospacing="1"/>
    </w:pPr>
    <w:rPr/>
  </w:style>
  <w:style w:type="paragraph" w:styleId="Style25" w:customStyle="1">
    <w:name w:val="Заголовок статьи"/>
    <w:basedOn w:val="Normal"/>
    <w:next w:val="Normal"/>
    <w:uiPriority w:val="99"/>
    <w:qFormat/>
    <w:rsid w:val="00b128d2"/>
    <w:pPr>
      <w:ind w:hanging="892" w:left="1612"/>
      <w:jc w:val="both"/>
    </w:pPr>
    <w:rPr>
      <w:rFonts w:ascii="Arial" w:hAnsi="Arial" w:eastAsia="Calibri" w:cs="Arial" w:eastAsiaTheme="minorHAnsi"/>
      <w:lang w:eastAsia="en-US"/>
    </w:rPr>
  </w:style>
  <w:style w:type="paragraph" w:styleId="Style26" w:customStyle="1">
    <w:name w:val="Комментарий"/>
    <w:basedOn w:val="Normal"/>
    <w:next w:val="Normal"/>
    <w:uiPriority w:val="99"/>
    <w:qFormat/>
    <w:rsid w:val="00b128d2"/>
    <w:pPr>
      <w:spacing w:before="75" w:after="0"/>
      <w:ind w:left="170"/>
      <w:jc w:val="both"/>
    </w:pPr>
    <w:rPr>
      <w:rFonts w:ascii="Arial" w:hAnsi="Arial" w:eastAsia="Calibri" w:cs="Arial" w:eastAsiaTheme="minorHAnsi"/>
      <w:i/>
      <w:iCs/>
      <w:color w:val="353842"/>
      <w:shd w:fill="F0F0F0" w:val="clear"/>
      <w:lang w:eastAsia="en-US"/>
    </w:rPr>
  </w:style>
  <w:style w:type="paragraph" w:styleId="Style27" w:customStyle="1">
    <w:name w:val="Прижатый влево"/>
    <w:basedOn w:val="Normal"/>
    <w:next w:val="Normal"/>
    <w:qFormat/>
    <w:rsid w:val="00426590"/>
    <w:pPr/>
    <w:rPr>
      <w:rFonts w:ascii="Arial" w:hAnsi="Arial" w:eastAsia="" w:cs="Arial" w:eastAsiaTheme="minorEastAsia"/>
    </w:rPr>
  </w:style>
  <w:style w:type="paragraph" w:styleId="Style28" w:customStyle="1">
    <w:name w:val="Нормальный (таблица)"/>
    <w:basedOn w:val="Normal"/>
    <w:next w:val="Normal"/>
    <w:uiPriority w:val="99"/>
    <w:qFormat/>
    <w:rsid w:val="00426590"/>
    <w:pPr>
      <w:jc w:val="both"/>
    </w:pPr>
    <w:rPr>
      <w:rFonts w:ascii="Arial" w:hAnsi="Arial" w:cs="Arial"/>
    </w:rPr>
  </w:style>
  <w:style w:type="paragraph" w:styleId="ListParagraph1" w:customStyle="1">
    <w:name w:val="List Paragraph1"/>
    <w:basedOn w:val="Normal"/>
    <w:qFormat/>
    <w:rsid w:val="00ae7e3a"/>
    <w:pPr>
      <w:suppressAutoHyphens w:val="true"/>
      <w:spacing w:lineRule="auto" w:line="271" w:before="0" w:after="200"/>
      <w:ind w:left="720"/>
    </w:pPr>
    <w:rPr>
      <w:rFonts w:ascii="Calibri" w:hAnsi="Calibri"/>
      <w:sz w:val="22"/>
      <w:szCs w:val="20"/>
    </w:rPr>
  </w:style>
  <w:style w:type="paragraph" w:styleId="S1" w:customStyle="1">
    <w:name w:val="s_1"/>
    <w:basedOn w:val="Normal"/>
    <w:qFormat/>
    <w:rsid w:val="00ae7e3a"/>
    <w:pPr>
      <w:suppressAutoHyphens w:val="true"/>
      <w:spacing w:lineRule="auto" w:line="271" w:beforeAutospacing="1" w:afterAutospacing="1"/>
    </w:pPr>
    <w:rPr>
      <w:rFonts w:ascii="Calibri" w:hAnsi="Calibri"/>
      <w:sz w:val="22"/>
      <w:szCs w:val="20"/>
    </w:rPr>
  </w:style>
  <w:style w:type="paragraph" w:styleId="Style29">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13">
    <w:name w:val="Table Simple 1"/>
    <w:basedOn w:val="a1"/>
    <w:rsid w:val="00ae7e3a"/>
    <w:rPr>
      <w:lang w:eastAsia="ru-RU"/>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garantf1://6049003.0"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9EE6B-CF27-4EC7-A211-88DF8FA3D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1569</TotalTime>
  <Application>LibreOffice/7.6.0.3$Linux_X86_64 LibreOffice_project/60$Build-3</Application>
  <AppVersion>15.0000</AppVersion>
  <Pages>5</Pages>
  <Words>1879</Words>
  <Characters>13315</Characters>
  <CharactersWithSpaces>15256</CharactersWithSpaces>
  <Paragraphs>50</Paragraphs>
  <Company>ФО Администрации Ленинского муниципального района</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2024-04-08T06:01:00Z</dcterms:created>
  <dc:creator>mtv</dc:creator>
  <dc:description/>
  <dc:language>ru-RU</dc:language>
  <cp:lastModifiedBy/>
  <cp:lastPrinted>2024-07-22T06:38:00Z</cp:lastPrinted>
  <dcterms:modified xsi:type="dcterms:W3CDTF">2024-10-17T11:45:30Z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file>