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 xml:space="preserve"> </w:t>
            </w:r>
            <w:r>
              <w:rPr>
                <w:rFonts w:ascii="Tempora LGC Uni" w:hAnsi="Tempora LGC Uni"/>
                <w:b/>
                <w:sz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</w:rPr>
              <w:t xml:space="preserve">тел. 8-84478-42747, </w:t>
            </w:r>
            <w:r>
              <w:rPr>
                <w:rFonts w:ascii="Tempora LGC Uni" w:hAnsi="Tempora LGC Uni"/>
                <w:sz w:val="22"/>
                <w:lang w:val="en-US"/>
              </w:rPr>
              <w:t>e</w:t>
            </w:r>
            <w:r>
              <w:rPr>
                <w:rFonts w:ascii="Tempora LGC Uni" w:hAnsi="Tempora LGC Uni"/>
                <w:sz w:val="22"/>
              </w:rPr>
              <w:t>-</w:t>
            </w:r>
            <w:r>
              <w:rPr>
                <w:rFonts w:ascii="Tempora LGC Uni" w:hAnsi="Tempora LGC Uni"/>
                <w:sz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</w:rPr>
              <w:t xml:space="preserve">: </w:t>
            </w:r>
            <w:r>
              <w:rPr>
                <w:rFonts w:ascii="Tempora LGC Uni" w:hAnsi="Tempora LGC Uni"/>
                <w:sz w:val="22"/>
                <w:lang w:val="en-US"/>
              </w:rPr>
              <w:t>mololkina</w:t>
            </w:r>
            <w:r>
              <w:rPr>
                <w:rFonts w:ascii="Tempora LGC Uni" w:hAnsi="Tempora LGC Uni"/>
                <w:sz w:val="22"/>
              </w:rPr>
              <w:t>60@</w:t>
            </w:r>
            <w:r>
              <w:rPr>
                <w:rFonts w:ascii="Tempora LGC Uni" w:hAnsi="Tempora LGC Uni"/>
                <w:sz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</w:rPr>
              <w:t>.</w:t>
            </w:r>
            <w:r>
              <w:rPr>
                <w:rFonts w:ascii="Tempora LGC Uni" w:hAnsi="Tempora LGC Uni"/>
                <w:sz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color w:val="00206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>№</w:t>
      </w:r>
      <w:r>
        <w:rPr>
          <w:rFonts w:ascii="Times New Roman" w:hAnsi="Times New Roman"/>
          <w:color w:themeColor="text1" w:val="000000"/>
          <w:sz w:val="26"/>
          <w:szCs w:val="26"/>
        </w:rPr>
        <w:t>48</w:t>
      </w:r>
      <w:r>
        <w:rPr>
          <w:rFonts w:ascii="Times New Roman" w:hAnsi="Times New Roman"/>
          <w:color w:themeColor="text1" w:val="000000"/>
          <w:sz w:val="26"/>
          <w:szCs w:val="26"/>
        </w:rPr>
        <w:t>/</w:t>
      </w:r>
      <w:r>
        <w:rPr>
          <w:rFonts w:ascii="Times New Roman" w:hAnsi="Times New Roman"/>
          <w:color w:themeColor="text1" w:val="000000"/>
          <w:sz w:val="26"/>
          <w:szCs w:val="26"/>
        </w:rPr>
        <w:t>603</w:t>
      </w:r>
      <w:r>
        <w:rPr>
          <w:rFonts w:ascii="Times New Roman" w:hAnsi="Times New Roman"/>
          <w:color w:themeColor="text1" w:val="000000"/>
          <w:sz w:val="26"/>
          <w:szCs w:val="26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color w:themeColor="text1" w:val="000000"/>
          <w:sz w:val="26"/>
          <w:szCs w:val="26"/>
        </w:rPr>
        <w:t>22</w:t>
      </w:r>
      <w:r>
        <w:rPr>
          <w:rFonts w:ascii="Times New Roman" w:hAnsi="Times New Roman"/>
          <w:color w:themeColor="text1" w:val="000000"/>
          <w:sz w:val="26"/>
          <w:szCs w:val="26"/>
        </w:rPr>
        <w:t>.0</w:t>
      </w:r>
      <w:r>
        <w:rPr>
          <w:rFonts w:ascii="Times New Roman" w:hAnsi="Times New Roman"/>
          <w:color w:themeColor="text1" w:val="000000"/>
          <w:sz w:val="26"/>
          <w:szCs w:val="26"/>
        </w:rPr>
        <w:t>8</w:t>
      </w:r>
      <w:r>
        <w:rPr>
          <w:rFonts w:ascii="Times New Roman" w:hAnsi="Times New Roman"/>
          <w:color w:themeColor="text1" w:val="000000"/>
          <w:sz w:val="26"/>
          <w:szCs w:val="26"/>
        </w:rPr>
        <w:t>.2024г</w:t>
      </w:r>
      <w:r>
        <w:rPr>
          <w:rFonts w:ascii="Times New Roman" w:hAnsi="Times New Roman"/>
          <w:color w:val="002060"/>
          <w:sz w:val="26"/>
          <w:szCs w:val="26"/>
        </w:rPr>
        <w:t>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color w:val="00206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2060"/>
          <w:sz w:val="26"/>
          <w:szCs w:val="26"/>
        </w:rPr>
      </w:pPr>
      <w:r>
        <w:rPr>
          <w:rFonts w:ascii="Times New Roman" w:hAnsi="Times New Roman"/>
          <w:b/>
          <w:color w:val="00206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по итогам финансово — экономической экспертизы проекта постановления Администрации Ленинского муниципального района </w:t>
      </w:r>
      <w:bookmarkStart w:id="0" w:name="_Hlk493833046"/>
      <w:r>
        <w:rPr>
          <w:rFonts w:ascii="Times New Roman" w:hAnsi="Times New Roman"/>
          <w:b/>
          <w:color w:val="000000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  <w:bookmarkStart w:id="1" w:name="_Hlk493585139"/>
      <w:r>
        <w:rPr>
          <w:rFonts w:ascii="Times New Roman" w:hAnsi="Times New Roman"/>
          <w:b/>
          <w:color w:val="000000"/>
          <w:sz w:val="26"/>
          <w:szCs w:val="26"/>
        </w:rPr>
        <w:t xml:space="preserve"> «Капитальное строительство и развитие социальной сферы Ленинского муниципального района» </w:t>
      </w:r>
      <w:r>
        <w:rPr>
          <w:rFonts w:ascii="Times New Roman" w:hAnsi="Times New Roman"/>
          <w:color w:val="000000"/>
          <w:sz w:val="26"/>
          <w:szCs w:val="26"/>
        </w:rPr>
        <w:t>(</w:t>
      </w:r>
      <w:r>
        <w:rPr>
          <w:rFonts w:ascii="Tempora LGC Uni" w:hAnsi="Tempora LGC Uni"/>
          <w:color w:val="000000"/>
          <w:sz w:val="26"/>
          <w:szCs w:val="26"/>
        </w:rPr>
        <w:t>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>
        <w:rPr>
          <w:rFonts w:ascii="Tempora LGC Uni" w:hAnsi="Tempora LGC Uni"/>
          <w:color w:val="000000"/>
          <w:sz w:val="26"/>
          <w:szCs w:val="26"/>
        </w:rPr>
        <w:t>07, от 15.04.2020г. №171, от 06.05.2020г. №212, от 07.08.2020г. №366, от 02.11.2020г. №527, от 22.01.2021г. №33, от 31.03.2021 №182, от 18.05.2021 №272, от 30.06.2021 №345, от 11.08.2021 №421, от 07.10.2021 525, от 30.12.2021 №685, от 12.04.2022 №185, от 14.06.2022 №278, от 30.06.2022 №327, от 16.02.2023 №70, от 22.08.2023 №389, от 19.04.2024 №166, от 24.07.2024 №286)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2024 год</w:t>
      </w:r>
      <w:r>
        <w:rPr>
          <w:rFonts w:ascii="Times New Roman" w:hAnsi="Times New Roman"/>
          <w:color w:val="000000"/>
          <w:sz w:val="26"/>
          <w:szCs w:val="26"/>
        </w:rPr>
        <w:t xml:space="preserve"> и распоряжения на проведение экспертизы №</w:t>
      </w:r>
      <w:r>
        <w:rPr>
          <w:rFonts w:ascii="Times New Roman" w:hAnsi="Times New Roman"/>
          <w:color w:val="000000"/>
          <w:sz w:val="26"/>
          <w:szCs w:val="26"/>
        </w:rPr>
        <w:t>39</w:t>
      </w:r>
      <w:r>
        <w:rPr>
          <w:rFonts w:ascii="Times New Roman" w:hAnsi="Times New Roman"/>
          <w:color w:val="000000"/>
          <w:sz w:val="26"/>
          <w:szCs w:val="26"/>
        </w:rPr>
        <w:t xml:space="preserve">-р от </w:t>
      </w:r>
      <w:r>
        <w:rPr>
          <w:rFonts w:ascii="Times New Roman" w:hAnsi="Times New Roman"/>
          <w:color w:val="000000"/>
          <w:sz w:val="26"/>
          <w:szCs w:val="26"/>
        </w:rPr>
        <w:t>2</w:t>
      </w:r>
      <w:r>
        <w:rPr>
          <w:rFonts w:ascii="Times New Roman" w:hAnsi="Times New Roman"/>
          <w:color w:val="000000"/>
          <w:sz w:val="26"/>
          <w:szCs w:val="26"/>
        </w:rPr>
        <w:t>1.0</w:t>
      </w:r>
      <w:r>
        <w:rPr>
          <w:rFonts w:ascii="Times New Roman" w:hAnsi="Times New Roman"/>
          <w:color w:val="000000"/>
          <w:sz w:val="26"/>
          <w:szCs w:val="26"/>
        </w:rPr>
        <w:t>8</w:t>
      </w:r>
      <w:r>
        <w:rPr>
          <w:rFonts w:ascii="Times New Roman" w:hAnsi="Times New Roman"/>
          <w:color w:val="000000"/>
          <w:sz w:val="26"/>
          <w:szCs w:val="26"/>
        </w:rPr>
        <w:t xml:space="preserve">.2024г.  Контрольно-счётной </w:t>
      </w:r>
      <w:r>
        <w:rPr>
          <w:rFonts w:ascii="Times New Roman" w:hAnsi="Times New Roman"/>
          <w:color w:val="000000"/>
          <w:sz w:val="26"/>
          <w:szCs w:val="26"/>
        </w:rPr>
        <w:t>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муниципальной программы Ленинского муниципального района </w:t>
      </w:r>
      <w:r>
        <w:rPr>
          <w:rFonts w:ascii="Times New Roman" w:hAnsi="Times New Roman"/>
          <w:b/>
          <w:color w:val="000000"/>
          <w:sz w:val="26"/>
          <w:szCs w:val="26"/>
        </w:rPr>
        <w:t>«</w:t>
      </w:r>
      <w:r>
        <w:rPr>
          <w:rFonts w:ascii="Times New Roman" w:hAnsi="Times New Roman"/>
          <w:color w:val="000000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В ходе подготовки заключения были  проанализированы вносимые изменения в Программу, направленные в Контрольно-счетную палату письмом Отдела по жизнеобеспечению администрации Ленинского муниципального района от 16.08.2024г. №125,  к которому приложены проект Постановления; проект паспорта Программы; пояснительная записка к изменениям в Программу.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</w:t>
      </w:r>
      <w:r>
        <w:rPr>
          <w:rFonts w:ascii="Times New Roman" w:hAnsi="Times New Roman"/>
          <w:color w:val="000000"/>
          <w:sz w:val="26"/>
          <w:szCs w:val="26"/>
        </w:rPr>
        <w:t>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Ответственным исполнителем Программы (подпрограммы)</w:t>
      </w:r>
      <w:r>
        <w:rPr>
          <w:rFonts w:ascii="Times New Roman" w:hAnsi="Times New Roman"/>
          <w:color w:val="000000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>Соисполнителями Программы</w:t>
      </w:r>
      <w:r>
        <w:rPr>
          <w:rFonts w:ascii="Times New Roman" w:hAnsi="Times New Roman"/>
          <w:color w:val="000000"/>
          <w:sz w:val="26"/>
          <w:szCs w:val="26"/>
        </w:rPr>
        <w:t xml:space="preserve"> (подпрограммы) являются: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Отдел архитектуры и градостроительства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Отдел образования администрации Ленинского муниципального района;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-Отдел по культуре, молодежной политике, физической культуре и спорту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 МБУК «ДК Октябрь»;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учреждения образования Ленинского муниципального района,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администрация городского поселения город Ленинск.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Основными целями Программы (подпрограммы)</w:t>
      </w:r>
      <w:r>
        <w:rPr>
          <w:rFonts w:ascii="Times New Roman" w:hAnsi="Times New Roman"/>
          <w:color w:val="000000"/>
          <w:sz w:val="26"/>
          <w:szCs w:val="26"/>
        </w:rPr>
        <w:t xml:space="preserve"> является создание системы экономико-правовых условий, направленных на: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увеличение количества социальных объектов и их модернизация;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газификацию социальных объектов и создание при этом условий, соответствующих нормативам;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увеличение доли населения, обеспеченного питьевой водой, отвечающей требованиям безопасности.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Основными задачами Программы (подпрограммы)</w:t>
      </w:r>
      <w:r>
        <w:rPr>
          <w:rFonts w:ascii="Times New Roman" w:hAnsi="Times New Roman"/>
          <w:color w:val="000000"/>
          <w:sz w:val="26"/>
          <w:szCs w:val="26"/>
        </w:rPr>
        <w:t xml:space="preserve"> являются: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техническое перевооружение, реконструкция, строительство и модернизация социальных объектов;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повышение уровня газификации объектов социально-культурного назначения;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- развитие системы коммунальной инфраструктуры в секторе водоснабжения.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</w:t>
      </w:r>
      <w:r>
        <w:rPr>
          <w:rFonts w:ascii="Times New Roman" w:hAnsi="Times New Roman"/>
          <w:b/>
          <w:color w:val="000000"/>
          <w:sz w:val="26"/>
          <w:szCs w:val="26"/>
        </w:rPr>
        <w:t>Программа состоит из четырех подпрограмм: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Строительство и модернизация социальных объектов.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Газификация.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Увековечение памяти погибших при защите Отечества.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Чистая вода.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Срок реализации Программы (подпрограммы)</w:t>
      </w:r>
      <w:r>
        <w:rPr>
          <w:rFonts w:ascii="Times New Roman" w:hAnsi="Times New Roman"/>
          <w:color w:val="000000"/>
          <w:sz w:val="26"/>
          <w:szCs w:val="26"/>
        </w:rPr>
        <w:t xml:space="preserve"> в два этапа с 2018 по 2026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 и приведение Программы в соответствие с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Порядком, утвержденным Постановлением №573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  <w:tab/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В связи с вышеперечисленными обоснованиями изменения вносятся в </w:t>
      </w:r>
      <w:r>
        <w:rPr>
          <w:rFonts w:ascii="Times New Roman" w:hAnsi="Times New Roman"/>
          <w:b/>
          <w:color w:val="000000"/>
          <w:sz w:val="26"/>
          <w:szCs w:val="26"/>
        </w:rPr>
        <w:t>позиции  паспорта Программы «Целевые показатели Программы (подпрограммы)», «Сроки и этапы реализации Программы (подпрограммы)», «Объемы и источники финансирования Программы (подпрограммы)» и в разделы текстовой части паспорта Программы: раздел 1 «Общая характеристика сферы реализации муниципальной программы», раздел 2 «Цели, задачи, сроки и этапы реализации муниципальной программы», раздел 3 «Целевые показатели муниципальной программы, ожидаемые конечные результаты реализации муниципальной программы», раздел 5  «Обоснование объема финансовых ресурсов, необходимых для реализации муниципальной программы»,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>
        <w:rPr>
          <w:rFonts w:ascii="Times New Roman" w:hAnsi="Times New Roman"/>
          <w:color w:val="000000"/>
          <w:sz w:val="26"/>
          <w:szCs w:val="26"/>
        </w:rPr>
        <w:t>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bookmarkStart w:id="2" w:name="_Hlk500252463"/>
      <w:r>
        <w:rPr>
          <w:rFonts w:ascii="Times New Roman" w:hAnsi="Times New Roman"/>
          <w:color w:val="000000"/>
          <w:sz w:val="26"/>
          <w:szCs w:val="26"/>
        </w:rPr>
        <w:t xml:space="preserve">Общий объем финансирования действующей Программы  174091,91 тыс. руб. в том числе: средства федерального бюджета 0,00 тыс. руб., средства областного бюджета 159192,09 тыс. руб., средства бюджета Ленинского муниципального района 14899,82 тыс. руб.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498893,15 тыс. руб., в том числе: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средства федерального бюджета 0,00 тыс. руб.</w:t>
      </w:r>
    </w:p>
    <w:p>
      <w:pPr>
        <w:pStyle w:val="ListParagraph"/>
        <w:ind w:firstLine="708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средства областного бюджета 159154,49 тыс. руб., из них по годам: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2018 год   0,00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2019 год   0,00 тыс. руб.;</w:t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2020 год   26265,00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2021 год   33746,49 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2022 год   72296,00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2023 год   15076,10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2024 год   11770,90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2025 год   0,0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2026 год    0,0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2027 год    0,0 тыс. руб.</w:t>
      </w:r>
    </w:p>
    <w:p>
      <w:pPr>
        <w:pStyle w:val="ListParagraph"/>
        <w:ind w:firstLine="708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средства бюджета Ленинского муниципального района 339738,66 тыс. руб., из них по годам: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2018 год    0,00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2019 год    620,00 тыс. руб.;</w:t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2020 год    1875,37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2021 год    3263,14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2022 год    1224,70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2023 год    1260,49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2024 год    2528,89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2025 год    52840,79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2026 год    272585,16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2027 год    3540,12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в целом на 324801,24 тыс. руб., при этом финансирование Программы за счет средств  областного бюджета уменьшено на 37,60 тыс. руб., а  финансирование  за счет средств бюджета Ленинского муниципального района  увеличено на 324838,84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Изменения по объему финансирования внесены в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 xml:space="preserve">позицию  паспорта Программы «Объемы и источники финансирования Программы (подпрограммы)» и в </w:t>
      </w:r>
      <w:r>
        <w:rPr>
          <w:rFonts w:ascii="Times New Roman" w:hAnsi="Times New Roman"/>
          <w:b w:val="false"/>
          <w:bCs w:val="false"/>
          <w:color w:val="000000"/>
          <w:sz w:val="26"/>
          <w:szCs w:val="26"/>
        </w:rPr>
        <w:t>разделы 5  «Обоснование объема финансовых ресурсов, необходимых для реализации муниципальной программы» и 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В связи с изменением объема финансирования изменения вносятся в </w:t>
      </w:r>
      <w:r>
        <w:rPr>
          <w:rFonts w:ascii="Times New Roman" w:hAnsi="Times New Roman"/>
          <w:b w:val="false"/>
          <w:bCs w:val="false"/>
          <w:color w:val="000000"/>
          <w:sz w:val="26"/>
          <w:szCs w:val="26"/>
        </w:rPr>
        <w:t xml:space="preserve">позицию паспорта «Целевые показатели Программы (подпрограммы) и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программы», </w:t>
      </w:r>
      <w:r>
        <w:rPr>
          <w:rFonts w:ascii="Times New Roman" w:hAnsi="Times New Roman"/>
          <w:color w:val="000000"/>
          <w:sz w:val="26"/>
          <w:szCs w:val="26"/>
        </w:rPr>
        <w:t>где увеличены отдельные целевые показатели: «Площадь восстановленной кровли» с 6300,0 кв.м до 7200,0 кв.м., «количество реализованных проектов местных инициатив» с 38 до 49 проектов.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ascii="Times New Roman" w:hAnsi="Times New Roman"/>
          <w:b w:val="false"/>
          <w:bCs w:val="false"/>
          <w:color w:val="000000"/>
          <w:sz w:val="26"/>
          <w:szCs w:val="26"/>
        </w:rPr>
        <w:t>Изменение срока реализации Программы до 2027 года внесено в позицию  паспорта Программы  «Сроки и этапы реализации Программы (подпрограммы)» и в раздел 2 текстовой части паспорта Программы «Цели, задачи, сроки и этапы реализации муниципальной программы».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В раздел 1 </w:t>
      </w:r>
      <w:r>
        <w:rPr>
          <w:rFonts w:ascii="Times New Roman" w:hAnsi="Times New Roman"/>
          <w:b w:val="false"/>
          <w:bCs w:val="false"/>
          <w:color w:val="000000"/>
          <w:sz w:val="26"/>
          <w:szCs w:val="26"/>
        </w:rPr>
        <w:t xml:space="preserve">«Общая характеристика сферы реализации муниципальной программы» </w:t>
      </w:r>
      <w:r>
        <w:rPr>
          <w:rFonts w:ascii="Times New Roman" w:hAnsi="Times New Roman"/>
          <w:color w:val="000000"/>
          <w:sz w:val="26"/>
          <w:szCs w:val="26"/>
        </w:rPr>
        <w:t>добавлены обоснования потребности в финансировании дополнительных мероприятий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hanging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ConsPlusNormal"/>
        <w:widowControl/>
        <w:ind w:hanging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Проверкой проекта паспорта Программы установлены следующие несоответствия 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с текстовой частью Программы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</w:t>
      </w:r>
    </w:p>
    <w:p>
      <w:pPr>
        <w:pStyle w:val="ConsPlusNormal"/>
        <w:widowControl/>
        <w:ind w:hanging="0"/>
        <w:jc w:val="both"/>
        <w:rPr>
          <w:color w:val="000000"/>
        </w:rPr>
      </w:pPr>
      <w:r>
        <w:rPr>
          <w:rFonts w:ascii="Times New Roman" w:hAnsi="Times New Roman"/>
          <w:i/>
          <w:iCs/>
          <w:color w:val="000000"/>
          <w:sz w:val="26"/>
          <w:szCs w:val="26"/>
        </w:rPr>
        <w:tab/>
        <w:t xml:space="preserve">1. В позиции Паспорта «Целевые показатели Программы (подпрограммы)» звучит показатель «Количество разработанных проектов-1», тогда как в текстовой части Программы в разделе 3 </w:t>
      </w:r>
      <w:r>
        <w:rPr>
          <w:rFonts w:ascii="Times New Roman" w:hAnsi="Times New Roman"/>
          <w:b w:val="false"/>
          <w:bCs w:val="false"/>
          <w:i/>
          <w:iCs/>
          <w:color w:val="000000"/>
          <w:sz w:val="26"/>
          <w:szCs w:val="26"/>
        </w:rPr>
        <w:t>«Целевые показатели муниципальной программы, ожидаемые конечные результаты реализации муниципальной программы» звучит «количество разработанных проектов-0».</w:t>
      </w:r>
    </w:p>
    <w:p>
      <w:pPr>
        <w:pStyle w:val="ConsPlusNormal"/>
        <w:widowControl/>
        <w:ind w:hanging="0"/>
        <w:jc w:val="both"/>
        <w:rPr>
          <w:color w:val="000000"/>
        </w:rPr>
      </w:pPr>
      <w:r>
        <w:rPr>
          <w:rFonts w:ascii="Times New Roman" w:hAnsi="Times New Roman"/>
          <w:b w:val="false"/>
          <w:bCs w:val="false"/>
          <w:i/>
          <w:iCs/>
          <w:color w:val="000000"/>
          <w:sz w:val="26"/>
          <w:szCs w:val="26"/>
        </w:rPr>
        <w:tab/>
        <w:t>2. В позиции Паспорта «Объемы и источники финансирования Программы (подпрограммы)» объем финансирования Программы на 2025 год за счет средств бюджета района в размере 52840,79 тыс. руб., тогда как в разделе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объем финансирования на 2025 год за счет средств бюджета района в размере 51340,79 тыс. руб. Разница на 1500,0 тыс. руб.</w:t>
      </w:r>
    </w:p>
    <w:p>
      <w:pPr>
        <w:pStyle w:val="ConsPlusNormal"/>
        <w:widowControl/>
        <w:ind w:hanging="0"/>
        <w:jc w:val="both"/>
        <w:rPr>
          <w:rFonts w:ascii="Times New Roman" w:hAnsi="Times New Roman"/>
          <w:b w:val="false"/>
          <w:bCs w:val="false"/>
          <w:i/>
          <w:i/>
          <w:iCs/>
          <w:color w:val="000000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iCs/>
          <w:color w:val="000000"/>
          <w:sz w:val="26"/>
          <w:szCs w:val="26"/>
        </w:rPr>
      </w:r>
    </w:p>
    <w:p>
      <w:pPr>
        <w:pStyle w:val="NoSpacing"/>
        <w:jc w:val="both"/>
        <w:rPr>
          <w:color w:val="000000"/>
        </w:rPr>
      </w:pPr>
      <w:r>
        <w:rPr>
          <w:b/>
          <w:color w:val="000000"/>
          <w:sz w:val="26"/>
          <w:szCs w:val="26"/>
          <w:u w:val="single"/>
        </w:rPr>
        <w:t xml:space="preserve"> </w:t>
      </w:r>
      <w:r>
        <w:rPr>
          <w:b/>
          <w:color w:val="000000"/>
          <w:sz w:val="26"/>
          <w:szCs w:val="26"/>
          <w:u w:val="single"/>
        </w:rPr>
        <w:t>Вывод:</w:t>
      </w:r>
      <w:r>
        <w:rPr>
          <w:color w:val="000000"/>
          <w:sz w:val="26"/>
          <w:szCs w:val="26"/>
        </w:rPr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>
        <w:rPr>
          <w:rFonts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color w:val="000000"/>
          <w:sz w:val="26"/>
          <w:szCs w:val="26"/>
        </w:rPr>
        <w:t xml:space="preserve">муниципальной программы </w:t>
      </w:r>
      <w:r>
        <w:rPr>
          <w:rFonts w:ascii="Tempora LGC Uni" w:hAnsi="Tempora LGC Uni"/>
          <w:b/>
          <w:color w:val="000000"/>
          <w:sz w:val="26"/>
          <w:szCs w:val="26"/>
        </w:rPr>
        <w:t>«</w:t>
      </w:r>
      <w:r>
        <w:rPr>
          <w:rFonts w:ascii="Tempora LGC Uni" w:hAnsi="Tempora LGC Uni"/>
          <w:color w:val="000000"/>
          <w:sz w:val="26"/>
          <w:szCs w:val="26"/>
        </w:rPr>
        <w:t>Капитальное строительство и развитие социальной сферы Ленинского муниципального района»» возможным к утверждению в предлагаемой редакции, только после внесения соответствующих  изменений по устранению вышеназванных замечаний.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соответствии с п.4.9. </w:t>
      </w:r>
      <w:r>
        <w:rPr>
          <w:rFonts w:cs="Times New Roman" w:ascii="Times New Roman" w:hAnsi="Times New Roman"/>
          <w:color w:val="000000"/>
          <w:sz w:val="26"/>
          <w:szCs w:val="26"/>
        </w:rPr>
        <w:t>Порядка, утвержденного Постановлением №573, проинформировать Контрольно-счетную палату в течение 3-х дней об устранении всех замечаний.</w:t>
      </w:r>
      <w:r>
        <w:rPr>
          <w:rFonts w:ascii="Tempora LGC Uni" w:hAnsi="Tempora LGC Uni"/>
          <w:color w:val="000000"/>
          <w:sz w:val="26"/>
          <w:szCs w:val="26"/>
        </w:rPr>
        <w:tab/>
      </w:r>
      <w:bookmarkEnd w:id="2"/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cs="Times New Roman" w:ascii="Tempora LGC Uni" w:hAnsi="Tempora LGC Uni"/>
          <w:color w:val="000000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</w:t>
      </w:r>
      <w:r>
        <w:rPr>
          <w:rFonts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района                                                                                                               Т.В.Мололкина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4820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</w:p>
    <w:sectPr>
      <w:footerReference w:type="default" r:id="rId3"/>
      <w:type w:val="nextPage"/>
      <w:pgSz w:w="11906" w:h="16838"/>
      <w:pgMar w:left="1134" w:right="567" w:gutter="0" w:header="0" w:top="567" w:footer="709" w:bottom="766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602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61602f"/>
    <w:pPr>
      <w:keepNext w:val="true"/>
      <w:keepLines/>
      <w:spacing w:before="480" w:after="0"/>
      <w:outlineLvl w:val="0"/>
    </w:pPr>
    <w:rPr>
      <w:b/>
      <w:color w:val="365F91"/>
      <w:sz w:val="28"/>
    </w:rPr>
  </w:style>
  <w:style w:type="paragraph" w:styleId="Heading7">
    <w:name w:val="Heading 7"/>
    <w:basedOn w:val="Normal"/>
    <w:next w:val="Normal"/>
    <w:link w:val="7"/>
    <w:semiHidden/>
    <w:qFormat/>
    <w:rsid w:val="0061602f"/>
    <w:pPr>
      <w:spacing w:lineRule="auto" w:line="240" w:before="240" w:after="60"/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 w:customStyle="1">
    <w:name w:val="Line Number"/>
    <w:basedOn w:val="DefaultParagraphFont"/>
    <w:semiHidden/>
    <w:rsid w:val="0061602f"/>
    <w:rPr/>
  </w:style>
  <w:style w:type="character" w:styleId="Hyperlink">
    <w:name w:val="Hyperlink"/>
    <w:rsid w:val="0061602f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BalloonText"/>
    <w:semiHidden/>
    <w:qFormat/>
    <w:rsid w:val="0061602f"/>
    <w:rPr>
      <w:rFonts w:ascii="Tahoma" w:hAnsi="Tahoma"/>
      <w:sz w:val="16"/>
    </w:rPr>
  </w:style>
  <w:style w:type="character" w:styleId="Style13" w:customStyle="1">
    <w:name w:val="Верхний колонтитул Знак"/>
    <w:basedOn w:val="DefaultParagraphFont"/>
    <w:qFormat/>
    <w:rsid w:val="0061602f"/>
    <w:rPr/>
  </w:style>
  <w:style w:type="character" w:styleId="Style14" w:customStyle="1">
    <w:name w:val="Нижний колонтитул Знак"/>
    <w:basedOn w:val="DefaultParagraphFont"/>
    <w:qFormat/>
    <w:rsid w:val="0061602f"/>
    <w:rPr/>
  </w:style>
  <w:style w:type="character" w:styleId="Emphasis">
    <w:name w:val="Emphasis"/>
    <w:basedOn w:val="DefaultParagraphFont"/>
    <w:qFormat/>
    <w:rsid w:val="0061602f"/>
    <w:rPr>
      <w:b/>
      <w:i/>
    </w:rPr>
  </w:style>
  <w:style w:type="character" w:styleId="Style15" w:customStyle="1">
    <w:name w:val="Основной текст Знак"/>
    <w:basedOn w:val="DefaultParagraphFont"/>
    <w:qFormat/>
    <w:rsid w:val="0061602f"/>
    <w:rPr>
      <w:rFonts w:ascii="Times New Roman" w:hAnsi="Times New Roman"/>
      <w:sz w:val="24"/>
    </w:rPr>
  </w:style>
  <w:style w:type="character" w:styleId="7" w:customStyle="1">
    <w:name w:val="Заголовок 7 Знак"/>
    <w:basedOn w:val="DefaultParagraphFont"/>
    <w:semiHidden/>
    <w:qFormat/>
    <w:rsid w:val="0061602f"/>
    <w:rPr>
      <w:sz w:val="24"/>
    </w:rPr>
  </w:style>
  <w:style w:type="character" w:styleId="1" w:customStyle="1">
    <w:name w:val="Заголовок 1 Знак"/>
    <w:basedOn w:val="DefaultParagraphFont"/>
    <w:qFormat/>
    <w:rsid w:val="0061602f"/>
    <w:rPr>
      <w:b/>
      <w:color w:val="365F91"/>
      <w:sz w:val="2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rsid w:val="0061602f"/>
    <w:pPr>
      <w:spacing w:lineRule="auto" w:line="240" w:before="0" w:after="0"/>
      <w:jc w:val="both"/>
    </w:pPr>
    <w:rPr>
      <w:rFonts w:ascii="Times New Roman" w:hAnsi="Times New Roman"/>
      <w:sz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semiHidden/>
    <w:qFormat/>
    <w:rsid w:val="0061602f"/>
    <w:pPr>
      <w:spacing w:lineRule="auto" w:line="240" w:before="0" w:after="0"/>
    </w:pPr>
    <w:rPr>
      <w:rFonts w:ascii="Tahoma" w:hAnsi="Tahoma"/>
      <w:sz w:val="16"/>
    </w:rPr>
  </w:style>
  <w:style w:type="paragraph" w:styleId="11" w:customStyle="1">
    <w:name w:val="Обычный1"/>
    <w:qFormat/>
    <w:rsid w:val="0061602f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rsid w:val="0061602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rsid w:val="0061602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61602f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qFormat/>
    <w:rsid w:val="0061602f"/>
    <w:pPr>
      <w:suppressAutoHyphens w:val="true"/>
      <w:spacing w:lineRule="auto" w:line="240" w:before="100" w:after="119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qFormat/>
    <w:rsid w:val="0061602f"/>
    <w:pPr>
      <w:spacing w:lineRule="auto" w:line="240" w:before="0" w:after="0"/>
      <w:ind w:left="720"/>
      <w:contextualSpacing/>
    </w:pPr>
    <w:rPr>
      <w:sz w:val="24"/>
    </w:rPr>
  </w:style>
  <w:style w:type="paragraph" w:styleId="ConsPlusCell" w:customStyle="1">
    <w:name w:val="ConsPlusCell"/>
    <w:qFormat/>
    <w:rsid w:val="0061602f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NoSpacing">
    <w:name w:val="No Spacing"/>
    <w:qFormat/>
    <w:rsid w:val="0061602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andard" w:customStyle="1">
    <w:name w:val="Standard"/>
    <w:qFormat/>
    <w:rsid w:val="0061602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61602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61602f"/>
    <w:pPr>
      <w:spacing w:after="0" w:line="240" w:lineRule="auto"/>
      <w:jc w:val="center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2471</TotalTime>
  <Application>LibreOffice/7.6.0.3$Linux_X86_64 LibreOffice_project/60$Build-3</Application>
  <AppVersion>15.0000</AppVersion>
  <Pages>5</Pages>
  <Words>1607</Words>
  <Characters>12136</Characters>
  <CharactersWithSpaces>14045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2021-04-02T07:52:00Z</dcterms:created>
  <dc:creator/>
  <dc:description/>
  <dc:language>ru-RU</dc:language>
  <cp:lastModifiedBy/>
  <cp:lastPrinted>2024-08-29T10:31:36Z</cp:lastPrinted>
  <dcterms:modified xsi:type="dcterms:W3CDTF">2024-08-29T10:32:22Z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