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</w:rPr>
              <w:t xml:space="preserve"> </w:t>
            </w:r>
            <w:r>
              <w:rPr>
                <w:rFonts w:ascii="Tempora LGC Uni" w:hAnsi="Tempora LGC Uni"/>
                <w:b/>
                <w:sz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</w:rPr>
              <w:t xml:space="preserve">тел. 8-84478-42747, </w:t>
            </w:r>
            <w:r>
              <w:rPr>
                <w:rFonts w:ascii="Tempora LGC Uni" w:hAnsi="Tempora LGC Uni"/>
                <w:sz w:val="22"/>
                <w:lang w:val="en-US"/>
              </w:rPr>
              <w:t>e</w:t>
            </w:r>
            <w:r>
              <w:rPr>
                <w:rFonts w:ascii="Tempora LGC Uni" w:hAnsi="Tempora LGC Uni"/>
                <w:sz w:val="22"/>
              </w:rPr>
              <w:t>-</w:t>
            </w:r>
            <w:r>
              <w:rPr>
                <w:rFonts w:ascii="Tempora LGC Uni" w:hAnsi="Tempora LGC Uni"/>
                <w:sz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</w:rPr>
              <w:t xml:space="preserve">: </w:t>
            </w:r>
            <w:r>
              <w:rPr>
                <w:rFonts w:ascii="Tempora LGC Uni" w:hAnsi="Tempora LGC Uni"/>
                <w:sz w:val="22"/>
                <w:lang w:val="en-US"/>
              </w:rPr>
              <w:t>mololkina</w:t>
            </w:r>
            <w:r>
              <w:rPr>
                <w:rFonts w:ascii="Tempora LGC Uni" w:hAnsi="Tempora LGC Uni"/>
                <w:sz w:val="22"/>
              </w:rPr>
              <w:t>60@</w:t>
            </w:r>
            <w:r>
              <w:rPr>
                <w:rFonts w:ascii="Tempora LGC Uni" w:hAnsi="Tempora LGC Uni"/>
                <w:sz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</w:rPr>
              <w:t>.</w:t>
            </w:r>
            <w:r>
              <w:rPr>
                <w:rFonts w:ascii="Tempora LGC Uni" w:hAnsi="Tempora LGC Uni"/>
                <w:sz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>№</w:t>
      </w:r>
      <w:r>
        <w:rPr>
          <w:rFonts w:ascii="Times New Roman" w:hAnsi="Times New Roman"/>
          <w:color w:themeColor="text1" w:val="000000"/>
          <w:sz w:val="24"/>
          <w:szCs w:val="24"/>
        </w:rPr>
        <w:t>49/604                                                                                                                          23.08.2024г.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 xml:space="preserve">по итогам финансово-экономической экспертизы проекта  постановления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 xml:space="preserve">Администрации Ленинского муниципального района </w:t>
      </w:r>
      <w:bookmarkStart w:id="0" w:name="_Hlk493833046"/>
      <w:r>
        <w:rPr>
          <w:rFonts w:ascii="Tempora LGC Uni" w:hAnsi="Tempora LGC Uni"/>
          <w:b/>
          <w:color w:val="000000"/>
          <w:sz w:val="24"/>
          <w:szCs w:val="24"/>
        </w:rPr>
        <w:t>Волгоградской области «О внесении изменений в постановление администрации Ленинского муниципального района Волгоградской области от 24.10.2017 №523  «Об утверждении муниципальной  программы Ленинского муниципального района</w:t>
      </w:r>
      <w:bookmarkStart w:id="1" w:name="_Hlk493585139"/>
      <w:r>
        <w:rPr>
          <w:rFonts w:ascii="Tempora LGC Uni" w:hAnsi="Tempora LGC Uni"/>
          <w:b/>
          <w:color w:val="000000"/>
          <w:sz w:val="24"/>
          <w:szCs w:val="24"/>
        </w:rPr>
        <w:t xml:space="preserve"> «Программа по энергосбережению и повышению энергетической эффективности Ленинского муниципального района» </w:t>
      </w:r>
      <w:r>
        <w:rPr>
          <w:rFonts w:ascii="Tempora LGC Uni" w:hAnsi="Tempora LGC Uni"/>
          <w:color w:val="000000"/>
          <w:sz w:val="24"/>
          <w:szCs w:val="24"/>
        </w:rPr>
        <w:t>(в редакции постановлений от 21.12.2017 г. № 633, от 02.07.2018г. № 395, от 16.01.2019г. № 19, от 28.06.2019г. №305, от 21.11.2019г. №63</w:t>
      </w:r>
      <w:bookmarkEnd w:id="0"/>
      <w:bookmarkEnd w:id="1"/>
      <w:r>
        <w:rPr>
          <w:rFonts w:ascii="Tempora LGC Uni" w:hAnsi="Tempora LGC Uni"/>
          <w:color w:val="000000"/>
          <w:sz w:val="24"/>
          <w:szCs w:val="24"/>
        </w:rPr>
        <w:t>1, от 26.12.2019г. №732, от 13.01.2020 №6, от 18.02.2020гг. №65, от 13.07.2020г. №304,  от 29.07.2020г. №336, от 30.12.2020 №658, от 22.01.2021 №31, от 30.06.2021 №346, от 30.12.2021 №686, от 30.06.2022 №326, от 24.11.2022 №588, от 16.02.2023 №72, от 10.04.2024 №143, от 01.08.2024 №309).</w:t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/>
          <w:sz w:val="24"/>
          <w:szCs w:val="24"/>
        </w:rPr>
      </w:pPr>
      <w:r>
        <w:rPr>
          <w:rFonts w:ascii="Tempora LGC Uni" w:hAnsi="Tempora LGC Un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/>
          <w:sz w:val="24"/>
          <w:szCs w:val="24"/>
        </w:rPr>
      </w:pPr>
      <w:r>
        <w:rPr>
          <w:rFonts w:ascii="Tempora LGC Uni" w:hAnsi="Tempora LGC Uni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2024 год и распоряжения на проведение экспертизы № 40-р от 21.08.2024г.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№523 «Об утверждении</w:t>
      </w:r>
      <w:r>
        <w:rPr>
          <w:rFonts w:ascii="Tempora LGC Uni" w:hAnsi="Tempora LGC Uni"/>
          <w:b/>
          <w:color w:val="000000"/>
          <w:sz w:val="24"/>
          <w:szCs w:val="24"/>
        </w:rPr>
        <w:t xml:space="preserve"> </w:t>
      </w:r>
      <w:r>
        <w:rPr>
          <w:rFonts w:ascii="Tempora LGC Uni" w:hAnsi="Tempora LGC Uni"/>
          <w:color w:val="000000"/>
          <w:sz w:val="24"/>
          <w:szCs w:val="24"/>
        </w:rPr>
        <w:t xml:space="preserve">муниципальной программы Ленинского муниципального района «Программы по энергосбережению и повышению энергетической эффективности Ленинского муниципального района» (далее – проект Постановления, проект).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Экспертиза проведена на предмет соответствия изменений, вносимых в муниципальную программу Ленинского муниципального района «Программы по энергосбережению и повышению энергетической эффективности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16.08.2024г. №126,  к  которому приложены: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- проект Постановления;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- проект паспорта Программы;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- пояснительная записка к изменениям  в Программу.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>Ответственным исполнителем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является Отдел по жизнеобеспечению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 </w:t>
      </w:r>
      <w:r>
        <w:rPr>
          <w:rFonts w:ascii="Tempora LGC Uni" w:hAnsi="Tempora LGC Uni"/>
          <w:b/>
          <w:color w:val="000000"/>
          <w:sz w:val="24"/>
          <w:szCs w:val="24"/>
        </w:rPr>
        <w:t>Соисполнителями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являются: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- Отдел образования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- учреждения образования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- МКУ ЛМР «Моставтотранс»;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- Отдел по культуре, молодежной политике, физической культуре и спорту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>Целью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является снижение энергоёмкости, повышение энергоэффективности потребления топливно-энергетических ресурсов в зданиях бюджетной сферы. Внедрение энергоэффективных систем уличного (наружного) освещения на территории населенных пунктов Ленинского муниципального района. 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>Целевыми показателями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являются: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организаций, прошедших энергоаудит в зданиях общеобразовательных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организаций, прошедших энергоаудит в зданиях дошкольных 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организаций, прошедших энергоаудит в зданиях дополнительного образования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организаций, прошедших энергоаудит в зданиях физической культуры и спорта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оконных блоков, установленных в зданиях общеобразовательных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оконных блоков, установленных в зданиях  дошкольных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оконных блоков, установленных в зданиях организаций дополнительного образования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осветительных приборов, установленных в зданиях общеобразовательных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оконных блоков установленных в зданиях организаций физической культуры и спорта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разработанных проектов, локальных сметных расчетов;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Протяженность систем уличного (наружного) освещения;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установленных приборов учета.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ab/>
      </w:r>
      <w:r>
        <w:rPr>
          <w:rFonts w:ascii="Tempora LGC Uni" w:hAnsi="Tempora LGC Uni"/>
          <w:b/>
          <w:color w:val="000000"/>
          <w:sz w:val="24"/>
          <w:szCs w:val="24"/>
        </w:rPr>
        <w:t>Задачами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являются: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- внедрение инновационных технологий и оборудования, обеспечивающих современный уровень энергопотребления;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- совершенствование системы нормирования потребления энергетических ресурсов;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- разработка и применение мер морального стимулирования энергосбережения и повышения энергетической эффективности, конкретизация мер ответственности.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 xml:space="preserve">          </w:t>
      </w:r>
      <w:r>
        <w:rPr>
          <w:rFonts w:ascii="Tempora LGC Uni" w:hAnsi="Tempora LGC Uni"/>
          <w:b/>
          <w:color w:val="000000"/>
          <w:sz w:val="24"/>
          <w:szCs w:val="24"/>
        </w:rPr>
        <w:t>Программа состоит из трех подпрограмм: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Проведение энергоаудита;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Внедрение энергосберегающих технологий  и материалов;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Энергосбережение и повышение энергетической эффективности систем уличного (наружного) освещения Ленинского муниципального района.</w:t>
      </w:r>
    </w:p>
    <w:p>
      <w:pPr>
        <w:pStyle w:val="ConsPlusCell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>Срок реализации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в один этап: 2018 – 2026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Согласно письма и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 и приведение Программы в соответствие с </w:t>
      </w:r>
      <w:r>
        <w:rPr>
          <w:rFonts w:cs="Times New Roman" w:ascii="Tempora LGC Uni" w:hAnsi="Tempora LGC Uni"/>
          <w:color w:val="000000"/>
          <w:sz w:val="24"/>
          <w:szCs w:val="24"/>
        </w:rPr>
        <w:t>Порядком, утвержденным Постановлением №573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 xml:space="preserve">.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Общий объем финансирования действующей Программы  составляет 57188,05 тыс. руб., в том числе из бюджета муниципального района 1662,56 тыс. руб., из областного бюджета 55525,50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Предлагаемым проектом, вносятся изменения в объем финансирования Программы, который  составит 66743,18 тыс. руб., в том числе:</w:t>
      </w:r>
    </w:p>
    <w:p>
      <w:pPr>
        <w:pStyle w:val="ListParagraph"/>
        <w:ind w:firstLine="708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из бюджета муниципального района 11217,69 тыс. руб.: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2018 год      250,0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2019 год      316,99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2020 год      254,93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2021 год      187,22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2022 год      221,29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2023 год      202,78  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2024 год      124,08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2025 год      8425,13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2026 год      617,63 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2027 год      617,63  тыс. руб.;</w:t>
      </w:r>
    </w:p>
    <w:p>
      <w:pPr>
        <w:pStyle w:val="ListParagraph"/>
        <w:ind w:firstLine="708" w:left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из областного бюджета 55525,50 тыс. руб.: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2018 год  1385,50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2019 год  1450,0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2020 год  10700,0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2021 год  10990,0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2022 год   11300,0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2023 год   11050,0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2024 год   8650,0 тыс. руб.; 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2025 год   0,0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2026 год   0,0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2027 год   0,0 тыс. руб.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Таким образом, предлагаемым проектом предусмотрено увеличение объемов финансирования на реализацию Программы на сумму 9555,13 тыс. руб. за счет средств бюджета Ленинского муниципального района. Изменения по объему финансирования внесены в </w:t>
      </w:r>
      <w:r>
        <w:rPr>
          <w:rFonts w:ascii="Tempora LGC Uni" w:hAnsi="Tempora LGC Uni"/>
          <w:b/>
          <w:bCs/>
          <w:color w:val="000000"/>
          <w:sz w:val="24"/>
          <w:szCs w:val="24"/>
        </w:rPr>
        <w:t>позицию  паспорта Программы «Объемы и источники финансирования Программы (подпрограммы)» и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 в текстовую часть паспорта Программы</w:t>
      </w:r>
      <w:r>
        <w:rPr>
          <w:rFonts w:ascii="Tempora LGC Uni" w:hAnsi="Tempora LGC Uni"/>
          <w:b/>
          <w:bCs/>
          <w:color w:val="000000"/>
          <w:sz w:val="24"/>
          <w:szCs w:val="24"/>
        </w:rPr>
        <w:t xml:space="preserve"> разделы 5  «Обоснование объема финансовых ресурсов, необходимых для реализации муниципальной программы» и 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В связи с изменением объема финансирования изменились и целевые показатели (их количество), в связи с этим внесены изменения </w:t>
      </w:r>
      <w:r>
        <w:rPr>
          <w:rFonts w:ascii="Tempora LGC Uni" w:hAnsi="Tempora LGC Uni"/>
          <w:b/>
          <w:bCs/>
          <w:color w:val="000000"/>
          <w:sz w:val="24"/>
          <w:szCs w:val="24"/>
        </w:rPr>
        <w:t>в 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Изменение срока реализации Программы до 2027 года внесено в </w:t>
      </w:r>
      <w:r>
        <w:rPr>
          <w:rFonts w:ascii="Tempora LGC Uni" w:hAnsi="Tempora LGC Uni"/>
          <w:b/>
          <w:bCs/>
          <w:color w:val="000000"/>
          <w:sz w:val="24"/>
          <w:szCs w:val="24"/>
        </w:rPr>
        <w:t>позицию  паспорта Программы  «Сроки и этапы реализации Программы (подпрограммы)» и в раздел 2 текстовой части паспорта Программы «Цели, задачи, сроки и этапы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ascii="Tempora LGC Uni" w:hAnsi="Tempora LGC Uni"/>
          <w:b/>
          <w:color w:val="000000"/>
          <w:sz w:val="24"/>
          <w:szCs w:val="24"/>
        </w:rPr>
        <w:t>форму 1</w:t>
      </w:r>
      <w:r>
        <w:rPr>
          <w:rFonts w:ascii="Tempora LGC Uni" w:hAnsi="Tempora LGC Uni"/>
          <w:color w:val="000000"/>
          <w:sz w:val="24"/>
          <w:szCs w:val="24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Tempora LGC Uni" w:hAnsi="Tempora LGC Uni"/>
          <w:b/>
          <w:color w:val="000000"/>
          <w:sz w:val="24"/>
          <w:szCs w:val="24"/>
        </w:rPr>
        <w:t>форму 2</w:t>
      </w:r>
      <w:r>
        <w:rPr>
          <w:rFonts w:ascii="Tempora LGC Uni" w:hAnsi="Tempora LGC Uni"/>
          <w:color w:val="000000"/>
          <w:sz w:val="24"/>
          <w:szCs w:val="24"/>
        </w:rPr>
        <w:t xml:space="preserve"> «Перечень мероприятий муниципальной программы Ленинского муниципального района» и в </w:t>
      </w:r>
      <w:r>
        <w:rPr>
          <w:rFonts w:ascii="Tempora LGC Uni" w:hAnsi="Tempora LGC Uni"/>
          <w:b/>
          <w:color w:val="000000"/>
          <w:sz w:val="24"/>
          <w:szCs w:val="24"/>
        </w:rPr>
        <w:t>форму 3</w:t>
      </w:r>
      <w:r>
        <w:rPr>
          <w:rFonts w:ascii="Tempora LGC Uni" w:hAnsi="Tempora LGC Uni"/>
          <w:color w:val="000000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i/>
          <w:i/>
          <w:iCs/>
        </w:rPr>
      </w:pPr>
      <w:r>
        <w:rPr>
          <w:rFonts w:ascii="Tempora LGC Uni" w:hAnsi="Tempora LGC Uni"/>
          <w:i/>
          <w:iCs/>
          <w:color w:val="000000"/>
          <w:sz w:val="24"/>
          <w:szCs w:val="24"/>
        </w:rPr>
        <w:t>Проверкой проекта Постановления установлено, что постановление от 24.10.2017г. №523 звучит «</w:t>
      </w:r>
      <w:r>
        <w:rPr>
          <w:rFonts w:ascii="Tempora LGC Uni" w:hAnsi="Tempora LGC Uni"/>
          <w:i/>
          <w:iCs/>
          <w:color w:val="000000"/>
          <w:sz w:val="24"/>
          <w:szCs w:val="24"/>
          <w:lang w:bidi="ru-RU"/>
        </w:rPr>
        <w:t xml:space="preserve">Об утверждении муниципальной программы </w:t>
      </w:r>
      <w:r>
        <w:rPr>
          <w:rFonts w:ascii="Tempora LGC Uni" w:hAnsi="Tempora LGC Uni"/>
          <w:b/>
          <w:bCs/>
          <w:i/>
          <w:iCs/>
          <w:color w:val="000000"/>
          <w:sz w:val="24"/>
          <w:szCs w:val="24"/>
          <w:lang w:bidi="ru-RU"/>
        </w:rPr>
        <w:t>Ленинского муниципального района</w:t>
      </w:r>
      <w:r>
        <w:rPr>
          <w:rFonts w:ascii="Tempora LGC Uni" w:hAnsi="Tempora LGC Uni"/>
          <w:i/>
          <w:iCs/>
          <w:color w:val="000000"/>
          <w:sz w:val="24"/>
          <w:szCs w:val="24"/>
          <w:lang w:bidi="ru-RU"/>
        </w:rPr>
        <w:br/>
        <w:t>«Программа по энергосбережению и повышению энергетической эффективности Ленинского муниципального района Волгоградской области», тогда как в проекте постановления звучит «Об утверждении муниципальной программы «Программа по энергосбережению и повышению энергетической эффективности Ленинского муниципального района Волгоградской области», то есть, после слов  «муниципальной программы» пропущено  «</w:t>
      </w:r>
      <w:r>
        <w:rPr>
          <w:rFonts w:ascii="Tempora LGC Uni" w:hAnsi="Tempora LGC Uni"/>
          <w:b w:val="false"/>
          <w:bCs w:val="false"/>
          <w:i/>
          <w:iCs/>
          <w:color w:val="000000"/>
          <w:sz w:val="24"/>
          <w:szCs w:val="24"/>
          <w:lang w:bidi="ru-RU"/>
        </w:rPr>
        <w:t>Ленинского муниципального района».</w:t>
      </w:r>
    </w:p>
    <w:p>
      <w:pPr>
        <w:pStyle w:val="Normal"/>
        <w:spacing w:lineRule="auto" w:line="240" w:before="0" w:after="0"/>
        <w:ind w:firstLine="708"/>
        <w:jc w:val="both"/>
        <w:rPr>
          <w:i/>
          <w:i/>
          <w:iCs/>
        </w:rPr>
      </w:pPr>
      <w:r>
        <w:rPr>
          <w:rFonts w:ascii="Tempora LGC Uni" w:hAnsi="Tempora LGC Uni"/>
          <w:b w:val="false"/>
          <w:bCs w:val="false"/>
          <w:i/>
          <w:iCs/>
          <w:color w:val="000000"/>
          <w:sz w:val="24"/>
          <w:szCs w:val="24"/>
          <w:lang w:bidi="ru-RU"/>
        </w:rPr>
        <w:t>В текстовой части паспорта Программы в разделе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 общий объем финансирования на 2021 год составляет 11177,22 тыс. руб, тогда как в позиции паспорта Программы «Объемы и источники финансирования Программы (подпрограммы)» и в текстовой часть паспорта Программы в разделе 5  «Обоснование объема финансовых ресурсов, необходимых для реализации муниципальной программы» 11177,23 тыс. руб. Расхождение на 0,01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b w:val="false"/>
          <w:bCs w:val="false"/>
          <w:i/>
          <w:i/>
          <w:iCs/>
          <w:color w:val="000000"/>
          <w:sz w:val="24"/>
          <w:szCs w:val="24"/>
          <w:lang w:bidi="ru-RU"/>
        </w:rPr>
      </w:pPr>
      <w:r>
        <w:rPr>
          <w:rFonts w:ascii="Tempora LGC Uni" w:hAnsi="Tempora LGC Uni"/>
          <w:b w:val="false"/>
          <w:bCs w:val="false"/>
          <w:i/>
          <w:iCs/>
          <w:color w:val="000000"/>
          <w:sz w:val="24"/>
          <w:szCs w:val="24"/>
          <w:lang w:bidi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b w:val="false"/>
          <w:bCs w:val="false"/>
          <w:color w:val="000000"/>
          <w:sz w:val="24"/>
          <w:szCs w:val="24"/>
          <w:lang w:bidi="ru-RU"/>
        </w:rPr>
      </w:pPr>
      <w:r>
        <w:rPr>
          <w:rFonts w:ascii="Tempora LGC Uni" w:hAnsi="Tempora LGC Uni"/>
          <w:b w:val="false"/>
          <w:bCs w:val="false"/>
          <w:color w:val="000000"/>
          <w:sz w:val="24"/>
          <w:szCs w:val="24"/>
          <w:lang w:bidi="ru-RU"/>
        </w:rPr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ab/>
      </w:r>
      <w:r>
        <w:rPr>
          <w:rFonts w:ascii="Tempora LGC Uni" w:hAnsi="Tempora LGC Uni"/>
          <w:b/>
          <w:color w:val="000000"/>
          <w:sz w:val="24"/>
          <w:szCs w:val="24"/>
          <w:u w:val="single"/>
        </w:rPr>
        <w:t xml:space="preserve"> Вывод:</w:t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ab/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24.10.2017г. №523 «Об утверждении</w:t>
      </w:r>
      <w:r>
        <w:rPr>
          <w:rFonts w:ascii="Tempora LGC Uni" w:hAnsi="Tempora LGC Uni"/>
          <w:b/>
          <w:color w:val="000000"/>
          <w:sz w:val="24"/>
          <w:szCs w:val="24"/>
        </w:rPr>
        <w:t xml:space="preserve"> </w:t>
      </w:r>
      <w:r>
        <w:rPr>
          <w:rFonts w:ascii="Tempora LGC Uni" w:hAnsi="Tempora LGC Uni"/>
          <w:color w:val="000000"/>
          <w:sz w:val="24"/>
          <w:szCs w:val="24"/>
        </w:rPr>
        <w:t>муниципальной программы «Программы по энергосбережению и повышению энергетической эффективности Ленинского района» возможным к утверждению в предлагаемой редакции,  только после внесения соответствующих  изменений по устранению вышеназванных замечаний.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ab/>
        <w:t xml:space="preserve">В соответствии с п.4.9. </w:t>
      </w:r>
      <w:r>
        <w:rPr>
          <w:rFonts w:cs="Times New Roman" w:ascii="Tempora LGC Uni" w:hAnsi="Tempora LGC Uni"/>
          <w:color w:val="000000"/>
          <w:sz w:val="24"/>
          <w:szCs w:val="24"/>
        </w:rPr>
        <w:t>Порядка, утвержденного Постановлением №573, проинформировать Контрольно-счетную палату в течение 3-х дней об устранении всех замечаний.</w:t>
      </w:r>
      <w:r>
        <w:rPr>
          <w:rFonts w:ascii="Tempora LGC Uni" w:hAnsi="Tempora LGC Uni"/>
          <w:color w:val="000000"/>
          <w:sz w:val="24"/>
          <w:szCs w:val="24"/>
        </w:rPr>
        <w:tab/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ab/>
        <w:t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</w:t>
      </w:r>
      <w:r>
        <w:rPr>
          <w:rFonts w:cs="Times New Roman" w:ascii="Tempora LGC Uni" w:hAnsi="Tempora LGC Uni"/>
          <w:b w:val="false"/>
          <w:bCs w:val="false"/>
          <w:color w:val="000000"/>
          <w:sz w:val="24"/>
          <w:szCs w:val="24"/>
        </w:rPr>
        <w:t xml:space="preserve"> осуществляет контроль за ходом реализации Программы и несет персональную ответственность за конечные результаты реализации  Программы.</w:t>
      </w:r>
    </w:p>
    <w:p>
      <w:pPr>
        <w:pStyle w:val="Normal"/>
        <w:spacing w:lineRule="auto" w:line="240" w:before="0" w:after="0"/>
        <w:jc w:val="both"/>
        <w:rPr>
          <w:rFonts w:cs="Times New Roman"/>
          <w:b w:val="false"/>
          <w:bCs w:val="false"/>
        </w:rPr>
      </w:pPr>
      <w:r>
        <w:rPr>
          <w:rFonts w:cs="Times New Roman"/>
          <w:b w:val="false"/>
          <w:bCs w:val="false"/>
        </w:rPr>
      </w:r>
    </w:p>
    <w:p>
      <w:pPr>
        <w:pStyle w:val="Normal"/>
        <w:spacing w:lineRule="auto" w:line="240" w:before="0" w:after="0"/>
        <w:jc w:val="both"/>
        <w:rPr>
          <w:rFonts w:cs="Times New Roman"/>
          <w:b w:val="false"/>
          <w:bCs w:val="false"/>
        </w:rPr>
      </w:pPr>
      <w:r>
        <w:rPr>
          <w:rFonts w:cs="Times New Roman"/>
          <w:b w:val="false"/>
          <w:bCs w:val="false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района                                                                                                                     Т.В.Мололкина</w:t>
      </w:r>
      <w:r>
        <w:rPr>
          <w:rFonts w:ascii="Times New Roman" w:hAnsi="Times New Roman"/>
          <w:b/>
          <w:color w:val="000000"/>
          <w:sz w:val="26"/>
        </w:rPr>
        <w:t xml:space="preserve">     </w:t>
      </w:r>
    </w:p>
    <w:p>
      <w:pPr>
        <w:pStyle w:val="Normal"/>
        <w:spacing w:lineRule="auto" w:line="240" w:before="0" w:after="0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</w:r>
    </w:p>
    <w:p>
      <w:pPr>
        <w:pStyle w:val="Standard"/>
        <w:ind w:left="4536"/>
        <w:rPr>
          <w:color w:val="000000"/>
          <w:sz w:val="26"/>
        </w:rPr>
      </w:pPr>
      <w:r>
        <w:rPr>
          <w:color w:val="000000"/>
          <w:sz w:val="26"/>
        </w:rPr>
      </w:r>
    </w:p>
    <w:sectPr>
      <w:footerReference w:type="default" r:id="rId3"/>
      <w:type w:val="nextPage"/>
      <w:pgSz w:w="11906" w:h="16838"/>
      <w:pgMar w:left="1361" w:right="567" w:gutter="0" w:header="0" w:top="567" w:footer="567" w:bottom="62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367b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Heading7">
    <w:name w:val="Heading 7"/>
    <w:basedOn w:val="Normal"/>
    <w:next w:val="Normal"/>
    <w:link w:val="7"/>
    <w:semiHidden/>
    <w:qFormat/>
    <w:rsid w:val="00c367b0"/>
    <w:pPr>
      <w:spacing w:lineRule="auto" w:line="240" w:before="240" w:after="60"/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eNumber" w:customStyle="1">
    <w:name w:val="Line Number"/>
    <w:basedOn w:val="DefaultParagraphFont"/>
    <w:semiHidden/>
    <w:rsid w:val="00c367b0"/>
    <w:rPr/>
  </w:style>
  <w:style w:type="character" w:styleId="Hyperlink">
    <w:name w:val="Hyperlink"/>
    <w:rsid w:val="00c367b0"/>
    <w:rPr>
      <w:color w:val="0000FF"/>
      <w:u w:val="single"/>
    </w:rPr>
  </w:style>
  <w:style w:type="character" w:styleId="Style13" w:customStyle="1">
    <w:name w:val="Текст выноски Знак"/>
    <w:basedOn w:val="DefaultParagraphFont"/>
    <w:link w:val="BalloonText"/>
    <w:semiHidden/>
    <w:qFormat/>
    <w:rsid w:val="00c367b0"/>
    <w:rPr>
      <w:rFonts w:ascii="Tahoma" w:hAnsi="Tahoma"/>
      <w:sz w:val="16"/>
    </w:rPr>
  </w:style>
  <w:style w:type="character" w:styleId="Style14" w:customStyle="1">
    <w:name w:val="Верхний колонтитул Знак"/>
    <w:basedOn w:val="DefaultParagraphFont"/>
    <w:qFormat/>
    <w:rsid w:val="00c367b0"/>
    <w:rPr/>
  </w:style>
  <w:style w:type="character" w:styleId="Style15" w:customStyle="1">
    <w:name w:val="Нижний колонтитул Знак"/>
    <w:basedOn w:val="DefaultParagraphFont"/>
    <w:qFormat/>
    <w:rsid w:val="00c367b0"/>
    <w:rPr/>
  </w:style>
  <w:style w:type="character" w:styleId="Emphasis">
    <w:name w:val="Emphasis"/>
    <w:basedOn w:val="DefaultParagraphFont"/>
    <w:qFormat/>
    <w:rsid w:val="00c367b0"/>
    <w:rPr>
      <w:b/>
      <w:i/>
    </w:rPr>
  </w:style>
  <w:style w:type="character" w:styleId="Style16" w:customStyle="1">
    <w:name w:val="Основной текст Знак"/>
    <w:basedOn w:val="DefaultParagraphFont"/>
    <w:qFormat/>
    <w:rsid w:val="00c367b0"/>
    <w:rPr>
      <w:rFonts w:ascii="Times New Roman" w:hAnsi="Times New Roman"/>
      <w:sz w:val="24"/>
    </w:rPr>
  </w:style>
  <w:style w:type="character" w:styleId="7" w:customStyle="1">
    <w:name w:val="Заголовок 7 Знак"/>
    <w:basedOn w:val="DefaultParagraphFont"/>
    <w:semiHidden/>
    <w:qFormat/>
    <w:rsid w:val="00c367b0"/>
    <w:rPr>
      <w:rFonts w:ascii="Calibri" w:hAnsi="Calibri"/>
      <w:sz w:val="24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6"/>
    <w:rsid w:val="00c367b0"/>
    <w:pPr>
      <w:spacing w:lineRule="auto" w:line="240" w:before="0" w:after="0"/>
      <w:jc w:val="both"/>
    </w:pPr>
    <w:rPr>
      <w:rFonts w:ascii="Times New Roman" w:hAnsi="Times New Roman"/>
      <w:sz w:val="24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3"/>
    <w:semiHidden/>
    <w:qFormat/>
    <w:rsid w:val="00c367b0"/>
    <w:pPr>
      <w:spacing w:lineRule="auto" w:line="240" w:before="0" w:after="0"/>
    </w:pPr>
    <w:rPr>
      <w:rFonts w:ascii="Tahoma" w:hAnsi="Tahoma"/>
      <w:sz w:val="16"/>
    </w:rPr>
  </w:style>
  <w:style w:type="paragraph" w:styleId="1" w:customStyle="1">
    <w:name w:val="Обычный1"/>
    <w:qFormat/>
    <w:rsid w:val="00c367b0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rsid w:val="00c367b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rsid w:val="00c367b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c367b0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qFormat/>
    <w:rsid w:val="00c367b0"/>
    <w:pPr>
      <w:suppressAutoHyphens w:val="true"/>
      <w:spacing w:lineRule="auto" w:line="240" w:before="100" w:after="119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qFormat/>
    <w:rsid w:val="00c367b0"/>
    <w:pPr>
      <w:spacing w:lineRule="auto" w:line="240" w:before="0" w:after="0"/>
      <w:ind w:left="720"/>
      <w:contextualSpacing/>
    </w:pPr>
    <w:rPr>
      <w:sz w:val="24"/>
    </w:rPr>
  </w:style>
  <w:style w:type="paragraph" w:styleId="ConsPlusCell" w:customStyle="1">
    <w:name w:val="ConsPlusCell"/>
    <w:qFormat/>
    <w:rsid w:val="00c367b0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NoSpacing">
    <w:name w:val="No Spacing"/>
    <w:qFormat/>
    <w:rsid w:val="00c367b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andard" w:customStyle="1">
    <w:name w:val="Standard"/>
    <w:qFormat/>
    <w:rsid w:val="00c367b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0" w:customStyle="1">
    <w:name w:val="Таблицы (моноширинный)"/>
    <w:basedOn w:val="Normal"/>
    <w:next w:val="Normal"/>
    <w:qFormat/>
    <w:rsid w:val="00c367b0"/>
    <w:pPr>
      <w:spacing w:lineRule="auto" w:line="240" w:before="0" w:after="0"/>
    </w:pPr>
    <w:rPr>
      <w:rFonts w:ascii="Courier New" w:hAnsi="Courier New"/>
      <w:sz w:val="24"/>
    </w:rPr>
  </w:style>
  <w:style w:type="paragraph" w:styleId="4">
    <w:name w:val="Основной текст (4)"/>
    <w:basedOn w:val="Normal"/>
    <w:qFormat/>
    <w:pPr>
      <w:widowControl w:val="false"/>
      <w:shd w:val="clear" w:fill="FFFFFF"/>
      <w:spacing w:lineRule="exact" w:line="278" w:before="360" w:after="600"/>
      <w:jc w:val="center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0">
    <w:name w:val="Table Simple 1"/>
    <w:basedOn w:val="a1"/>
    <w:rsid w:val="00c367b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c367b0"/>
    <w:pPr>
      <w:spacing w:after="0" w:line="240" w:lineRule="auto"/>
      <w:jc w:val="center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84E365-7EB8-46EE-8B2C-DDDE10E51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Application>LibreOffice/7.6.0.3$Linux_X86_64 LibreOffice_project/60$Build-3</Application>
  <AppVersion>15.0000</AppVersion>
  <Pages>5</Pages>
  <Words>1551</Words>
  <Characters>12048</Characters>
  <CharactersWithSpaces>13877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2024-04-03T10:32:00Z</dcterms:created>
  <dc:creator/>
  <dc:description/>
  <dc:language>ru-RU</dc:language>
  <cp:lastModifiedBy/>
  <cp:lastPrinted>2024-04-04T07:49:00Z</cp:lastPrinted>
  <dcterms:modified xsi:type="dcterms:W3CDTF">2024-09-16T13:34:19Z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