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4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80"/>
        <w:gridCol w:w="5162"/>
      </w:tblGrid>
      <w:tr>
        <w:trPr>
          <w:trHeight w:val="361" w:hRule="atLeast"/>
          <w:cantSplit w:val="true"/>
        </w:trPr>
        <w:tc>
          <w:tcPr>
            <w:tcW w:w="9842" w:type="dxa"/>
            <w:gridSpan w:val="2"/>
            <w:tcBorders/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909" w:hRule="atLeast"/>
          <w:cantSplit w:val="true"/>
        </w:trPr>
        <w:tc>
          <w:tcPr>
            <w:tcW w:w="9842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>тел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. 8-84478-42747, e-mail: mololkina60@mail.ru</w:t>
            </w:r>
          </w:p>
        </w:tc>
      </w:tr>
      <w:tr>
        <w:trPr>
          <w:trHeight w:val="796" w:hRule="atLeast"/>
        </w:trPr>
        <w:tc>
          <w:tcPr>
            <w:tcW w:w="4680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color w:val="000000"/>
              </w:rPr>
            </w:pPr>
            <w:r>
              <w:rPr>
                <w:color w:val="000000"/>
                <w:szCs w:val="24"/>
              </w:rPr>
              <w:t xml:space="preserve">№ </w:t>
            </w:r>
            <w:r>
              <w:rPr>
                <w:color w:val="000000"/>
                <w:szCs w:val="24"/>
              </w:rPr>
              <w:t>50/605</w:t>
            </w:r>
          </w:p>
          <w:p>
            <w:pPr>
              <w:pStyle w:val="1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</w:r>
          </w:p>
          <w:p>
            <w:pPr>
              <w:pStyle w:val="1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</w:r>
          </w:p>
        </w:tc>
        <w:tc>
          <w:tcPr>
            <w:tcW w:w="5162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26.08.2024г.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accent1" w:themeShade="bf" w:val="365F91"/>
          <w:sz w:val="24"/>
          <w:szCs w:val="24"/>
        </w:rPr>
      </w:pPr>
      <w:r>
        <w:rPr>
          <w:rFonts w:cs="Times New Roman" w:ascii="Times New Roman" w:hAnsi="Times New Roman"/>
          <w:b/>
          <w:color w:themeColor="accent1" w:themeShade="bf" w:val="365F91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b/>
          <w:color w:val="000000"/>
          <w:sz w:val="24"/>
          <w:szCs w:val="24"/>
        </w:rPr>
        <w:t>Экспертное заключение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b/>
          <w:color w:val="000000"/>
          <w:sz w:val="24"/>
          <w:szCs w:val="24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16.10.2017г. №493 «Об утверждении </w:t>
      </w:r>
      <w:r>
        <w:rPr>
          <w:rFonts w:cs="Times New Roman" w:ascii="Tempora LGC Uni" w:hAnsi="Tempora LGC Uni"/>
          <w:b/>
          <w:bCs/>
          <w:color w:val="000000"/>
          <w:sz w:val="24"/>
          <w:szCs w:val="24"/>
        </w:rPr>
        <w:t xml:space="preserve">муниципальной программы 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 xml:space="preserve">«Повышение безопасности дорожного движения в Ленинском муниципальном районе» </w:t>
      </w:r>
      <w:r>
        <w:rPr>
          <w:rFonts w:cs="Times New Roman" w:ascii="Tempora LGC Uni" w:hAnsi="Tempora LGC Uni"/>
          <w:color w:val="000000"/>
          <w:sz w:val="24"/>
          <w:szCs w:val="24"/>
        </w:rPr>
        <w:t>(в редакции постановлений от 21.12.2017 №630, от 09.04.2018 №178, от 29.05.2018  №292, от 27.06.2018 №392, от 27.07.2018 №436, от 31.08.2018 №527, от 28.09.2018 №575, от 02.11.2018 №630, от 07.12.2018 №692, от 29.12.2018 №732, от 16.01.2019 №21, от 26.03.2019 №123, от 18.04.2019 №174, от 28.06.2019 №306, от 09.08.2019 №385, от 06.09.2019г. №443, от 21.11.2019г. №630, от 06.12.2019г. №673, от 30.12.2019г. №756, от 12.03.2020г. №108, от 11.06.2020 №261, от 05.08.2020 №352, от 29.09.2020 №461, от 30.12.2020 №657, от 22.01.2021 №32, от 18.05.2021 №273, от 30.06.2021 №344, от 11.08.2021 №422, от 07.10.2021 №526, от 30.12.2021 №687, от 15.08.2022 №397, от 09.12.2022 №620, 16.02.2023 №73, от 11.07.2023 №317, от 13.03.2024 №84, от 01.08.2024 №308).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 w:cs="Times New Roman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 w:cs="Times New Roman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empora LGC Uni" w:hAnsi="Tempora LGC Uni"/>
          <w:color w:val="000000"/>
          <w:sz w:val="24"/>
          <w:szCs w:val="24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, </w:t>
      </w:r>
      <w:r>
        <w:rPr>
          <w:rFonts w:cs="Times New Roman" w:ascii="Tempora LGC Uni" w:hAnsi="Tempora LGC Uni"/>
          <w:color w:val="000000"/>
          <w:sz w:val="24"/>
          <w:szCs w:val="24"/>
        </w:rPr>
        <w:t>плана работы Контрольно-счетной палаты Ленинского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</w:t>
      </w:r>
      <w:r>
        <w:rPr>
          <w:rFonts w:cs="Times New Roman" w:ascii="Tempora LGC Uni" w:hAnsi="Tempora LGC Uni"/>
          <w:color w:val="000000"/>
          <w:sz w:val="24"/>
          <w:szCs w:val="24"/>
        </w:rPr>
        <w:t>муниципального района на 2024 год и распоряжения на проведение экспертизы №41-р от 21.08.2024г. Контрольно-счётной палатой Ленинского муниципального района (далее – КСП)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</w:t>
      </w:r>
      <w:r>
        <w:rPr>
          <w:rFonts w:cs="Times New Roman" w:ascii="Tempora LGC Uni" w:hAnsi="Tempora LGC Uni"/>
          <w:color w:val="000000"/>
          <w:sz w:val="24"/>
          <w:szCs w:val="24"/>
        </w:rPr>
        <w:t>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16.10.2017г. №493 «Об утверждении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cs="Times New Roman" w:ascii="Tempora LGC Uni" w:hAnsi="Tempora LGC Uni"/>
          <w:bCs/>
          <w:color w:val="000000"/>
          <w:sz w:val="24"/>
          <w:szCs w:val="24"/>
        </w:rPr>
        <w:t xml:space="preserve">муниципальной программы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«</w:t>
      </w:r>
      <w:r>
        <w:rPr>
          <w:rFonts w:cs="Times New Roman" w:ascii="Tempora LGC Uni" w:hAnsi="Tempora LGC Uni"/>
          <w:color w:val="000000"/>
          <w:sz w:val="24"/>
          <w:szCs w:val="24"/>
        </w:rPr>
        <w:t>Повышение безопасности дорожного движения в Ленинском муниципальном районе»</w:t>
      </w:r>
      <w:r>
        <w:rPr>
          <w:rFonts w:cs="Times New Roman" w:ascii="Tempora LGC Uni" w:hAnsi="Tempora LGC Uni"/>
          <w:bCs/>
          <w:color w:val="000000"/>
          <w:sz w:val="24"/>
          <w:szCs w:val="24"/>
        </w:rPr>
        <w:t xml:space="preserve"> (далее – проект Постановления).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empora LGC Uni" w:hAnsi="Tempora LGC Uni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«Повышение безопасности дорожного движения в Ленинском муниципальном районе» «(далее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В Контрольно-счетную палату с письмом Отдела по жизнеобеспечению администрации Ленинского муниципального района от 2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0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.0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8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.2024г. №12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7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,  согласно п.4.9. Порядка, утвержденного Постановлением №573, представлены: проект Постановления,  проект паспорта Программы, </w:t>
      </w:r>
      <w:r>
        <w:rPr>
          <w:rFonts w:cs="Times New Roman" w:ascii="Tempora LGC Uni" w:hAnsi="Tempora LGC Uni"/>
          <w:color w:val="000000"/>
          <w:sz w:val="24"/>
          <w:szCs w:val="24"/>
        </w:rPr>
        <w:t>пояснительная записка к изменениям  в Программу.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Ответственным исполнителем Программы (подпрограммы)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Соисполнители программы (подпрограммы)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: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муниципальное казенное учреждение Ленинского муниципального района «Моставтотранс»; отдел образования администрации Ленинского муниципального района; общеобразовательные организации района; дошкольные образовательные организации района.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</w:r>
      <w:r>
        <w:rPr>
          <w:rFonts w:eastAsia="Times New Roman" w:cs="Times New Roman" w:ascii="Tempora LGC Uni" w:hAnsi="Tempora LGC Uni"/>
          <w:b/>
          <w:color w:val="000000"/>
          <w:sz w:val="24"/>
          <w:szCs w:val="24"/>
        </w:rPr>
        <w:t>Основной ц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елью Программы (подпрограммы)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является сокращение количества лиц, погибших в результате дорожно-транспортных происшествий (далее - ДТП). Сокращение количества ДТП с пострадавшими. Создание комплексного подхода  к планированию мероприятий на улично-дорожной сети муниципальных образований, а также их оптимизация и систематизация.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b/>
          <w:color w:val="000000"/>
          <w:sz w:val="24"/>
          <w:szCs w:val="24"/>
        </w:rPr>
        <w:t>Целевыми показателями Программы (подпрограммы)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являются: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Сокращение количества лиц, погибших в результате ДТП.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Сокращение количества детей, пострадавших в результате ДТП.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Количество речных звеньев.</w:t>
      </w:r>
    </w:p>
    <w:p>
      <w:pPr>
        <w:pStyle w:val="Normal"/>
        <w:shd w:val="clear" w:color="auto" w:fill="FFFFFF"/>
        <w:spacing w:lineRule="auto" w:line="240" w:before="0" w:after="0"/>
        <w:ind w:left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b/>
          <w:color w:val="000000"/>
          <w:sz w:val="24"/>
          <w:szCs w:val="24"/>
        </w:rPr>
        <w:t>Основными задачами Программы (подпрограммы)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являются: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- повышение уровня управления в сфере обеспечения БДД на местном уровне. Совершенствование правовых основ деятельности органов местного самоуправления в сфере обеспечения БДД;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- предупреждение опасного поведения участников дорожного движения, развитие и совершенствование системы подготовки водителей транспортных средств и их допуска к участию в дорожном движении;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- сокращение детского дорожно-транспортного травматизма;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- совершенствование организации движения транспорта и пешеходов;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- сокращение времени пребывания соответствующих служб на место ДТП, повышение эффективности их деятельности по оказанию помощи лицам, пострадавшим в результате ДТП;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- повышение уровня безопасности транспортных средств;</w:t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</w:t>
      </w:r>
      <w:r>
        <w:rPr>
          <w:rFonts w:cs="Times New Roman" w:ascii="Tempora LGC Uni" w:hAnsi="Tempora LGC Uni"/>
          <w:color w:val="000000"/>
          <w:sz w:val="24"/>
          <w:szCs w:val="24"/>
        </w:rPr>
        <w:t>- перевозки автомобильным (автобусным) пассажирским транспортом по расписанию, перевозки специальные автомобильным (автобусным) транспортом по расписанию.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b/>
          <w:bCs/>
          <w:color w:val="000000"/>
          <w:sz w:val="24"/>
          <w:szCs w:val="24"/>
        </w:rPr>
        <w:t xml:space="preserve">             </w:t>
      </w:r>
      <w:r>
        <w:rPr>
          <w:rFonts w:cs="Times New Roman" w:ascii="Tempora LGC Uni" w:hAnsi="Tempora LGC Uni"/>
          <w:b/>
          <w:bCs/>
          <w:color w:val="000000"/>
          <w:sz w:val="24"/>
          <w:szCs w:val="24"/>
        </w:rPr>
        <w:t>Программа состоит из двух подпрограмм:</w:t>
      </w:r>
      <w:r>
        <w:rPr>
          <w:rFonts w:eastAsia="Times New Roman" w:cs="Times New Roman" w:ascii="Tempora LGC Uni" w:hAnsi="Tempora LGC Uni"/>
          <w:bCs/>
          <w:color w:val="000000"/>
          <w:sz w:val="24"/>
          <w:szCs w:val="24"/>
        </w:rPr>
        <w:tab/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>1. Организационные меры, направленные на совершенствование организации движения транспортных средств</w:t>
      </w:r>
      <w:r>
        <w:rPr>
          <w:rFonts w:eastAsia="Calibri" w:cs="Times New Roman" w:ascii="Tempora LGC Uni" w:hAnsi="Tempora LGC Uni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>2. Обеспечение безопасности и организация транспортного обслуживания образовательных организаций, населения и 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движения.</w:t>
      </w:r>
    </w:p>
    <w:p>
      <w:pPr>
        <w:pStyle w:val="ConsPlusCell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b/>
          <w:bCs/>
          <w:color w:val="000000"/>
          <w:sz w:val="24"/>
          <w:szCs w:val="24"/>
        </w:rPr>
        <w:t xml:space="preserve">Срок реализации Программы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в 1 этап:  2018 – 2026 годы.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ascii="Tempora LGC Uni" w:hAnsi="Tempora LGC Uni"/>
          <w:color w:val="000000"/>
          <w:sz w:val="24"/>
          <w:szCs w:val="24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</w:t>
      </w:r>
      <w:r>
        <w:rPr>
          <w:rFonts w:eastAsia="Times New Roman" w:ascii="Tempora LGC Uni" w:hAnsi="Tempora LGC Uni"/>
          <w:color w:val="000000"/>
          <w:sz w:val="24"/>
          <w:szCs w:val="24"/>
        </w:rPr>
        <w:t xml:space="preserve">а также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  <w:tab/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Общий объем финансирования действующей Программы составляет 4</w:t>
      </w:r>
      <w:r>
        <w:rPr>
          <w:rFonts w:cs="Times New Roman" w:ascii="Tempora LGC Uni" w:hAnsi="Tempora LGC Uni"/>
          <w:color w:val="000000"/>
          <w:sz w:val="24"/>
          <w:szCs w:val="24"/>
        </w:rPr>
        <w:t>47610,42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тыс. руб.,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в том числе: средства областного бюджета в размере 324089,61 тыс. руб., средства бюджета района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10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637,75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тыс. руб., средства бюджетов поселений 20883,06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Предлагаемым проектом, вносятся изменения в объем финансирования Программы, который  составит </w:t>
      </w:r>
      <w:r>
        <w:rPr>
          <w:rFonts w:cs="Times New Roman" w:ascii="Tempora LGC Uni" w:hAnsi="Tempora LGC Uni"/>
          <w:color w:val="000000"/>
          <w:sz w:val="24"/>
          <w:szCs w:val="24"/>
        </w:rPr>
        <w:t>5</w:t>
      </w:r>
      <w:r>
        <w:rPr>
          <w:rFonts w:cs="Times New Roman" w:ascii="Tempora LGC Uni" w:hAnsi="Tempora LGC Uni"/>
          <w:b w:val="false"/>
          <w:bCs w:val="false"/>
          <w:color w:val="000000"/>
          <w:sz w:val="24"/>
          <w:szCs w:val="24"/>
        </w:rPr>
        <w:t>4</w:t>
      </w:r>
      <w:r>
        <w:rPr>
          <w:rFonts w:cs="Times New Roman" w:ascii="Tempora LGC Uni" w:hAnsi="Tempora LGC Uni"/>
          <w:b w:val="false"/>
          <w:bCs w:val="false"/>
          <w:color w:val="000000"/>
          <w:sz w:val="24"/>
          <w:szCs w:val="24"/>
        </w:rPr>
        <w:t>3640</w:t>
      </w:r>
      <w:r>
        <w:rPr>
          <w:rFonts w:cs="Times New Roman" w:ascii="Tempora LGC Uni" w:hAnsi="Tempora LGC Uni"/>
          <w:b w:val="false"/>
          <w:bCs w:val="false"/>
          <w:color w:val="000000"/>
          <w:sz w:val="24"/>
          <w:szCs w:val="24"/>
        </w:rPr>
        <w:t>,</w:t>
      </w:r>
      <w:r>
        <w:rPr>
          <w:rFonts w:cs="Times New Roman" w:ascii="Tempora LGC Uni" w:hAnsi="Tempora LGC Uni"/>
          <w:b w:val="false"/>
          <w:bCs w:val="false"/>
          <w:color w:val="000000"/>
          <w:sz w:val="24"/>
          <w:szCs w:val="24"/>
        </w:rPr>
        <w:t>2</w:t>
      </w:r>
      <w:r>
        <w:rPr>
          <w:rFonts w:cs="Times New Roman" w:ascii="Tempora LGC Uni" w:hAnsi="Tempora LGC Uni"/>
          <w:b w:val="false"/>
          <w:bCs w:val="false"/>
          <w:color w:val="000000"/>
          <w:sz w:val="24"/>
          <w:szCs w:val="24"/>
        </w:rPr>
        <w:t>2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cs="Times New Roman" w:ascii="Tempora LGC Uni" w:hAnsi="Tempora LGC Uni"/>
          <w:color w:val="000000"/>
          <w:sz w:val="24"/>
          <w:szCs w:val="24"/>
        </w:rPr>
        <w:t>тыс. руб., в том числе:</w:t>
      </w:r>
    </w:p>
    <w:p>
      <w:pPr>
        <w:pStyle w:val="NoSpacing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из областного бюджета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324089,61 </w:t>
      </w:r>
      <w:r>
        <w:rPr>
          <w:rFonts w:ascii="Tempora LGC Uni" w:hAnsi="Tempora LGC Uni"/>
          <w:color w:val="000000"/>
          <w:sz w:val="24"/>
          <w:szCs w:val="24"/>
        </w:rPr>
        <w:t>тыс. руб., из них: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 xml:space="preserve">2018 год   656,80 тыс. руб., 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>2019 год   11406,81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  <w:t>2020 год   1585,00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2021 год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28485,00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2022 год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49485,00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80299,00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2024 год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106124,00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>2025 год    23024,00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2026 год    23024,00 тыс. руб.</w:t>
      </w:r>
    </w:p>
    <w:p>
      <w:pPr>
        <w:pStyle w:val="NoSpacing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из бюджета района 2</w:t>
      </w:r>
      <w:r>
        <w:rPr>
          <w:rFonts w:ascii="Tempora LGC Uni" w:hAnsi="Tempora LGC Uni"/>
          <w:color w:val="000000"/>
          <w:sz w:val="24"/>
          <w:szCs w:val="24"/>
        </w:rPr>
        <w:t>19550</w:t>
      </w:r>
      <w:r>
        <w:rPr>
          <w:rFonts w:ascii="Tempora LGC Uni" w:hAnsi="Tempora LGC Uni"/>
          <w:color w:val="000000"/>
          <w:sz w:val="24"/>
          <w:szCs w:val="24"/>
        </w:rPr>
        <w:t>,</w:t>
      </w:r>
      <w:r>
        <w:rPr>
          <w:rFonts w:ascii="Tempora LGC Uni" w:hAnsi="Tempora LGC Uni"/>
          <w:color w:val="000000"/>
          <w:sz w:val="24"/>
          <w:szCs w:val="24"/>
        </w:rPr>
        <w:t>61</w:t>
      </w:r>
      <w:r>
        <w:rPr>
          <w:rFonts w:ascii="Tempora LGC Uni" w:hAnsi="Tempora LGC Uni"/>
          <w:color w:val="000000"/>
          <w:sz w:val="24"/>
          <w:szCs w:val="24"/>
        </w:rPr>
        <w:t xml:space="preserve"> тыс. руб., из них:</w:t>
      </w:r>
    </w:p>
    <w:p>
      <w:pPr>
        <w:pStyle w:val="Normal"/>
        <w:shd w:val="clear" w:color="auto" w:fill="FFFFFF"/>
        <w:spacing w:lineRule="auto" w:line="240" w:before="0" w:after="0"/>
        <w:ind w:left="1416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2018 год – 4155,55 тыс. руб., из них 38,6 тыс. руб. кредиторская задолженность за 2017 год;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>2019 год  4573,22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  <w:t xml:space="preserve">2020год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 </w:t>
      </w:r>
      <w:r>
        <w:rPr>
          <w:rFonts w:cs="Times New Roman" w:ascii="Tempora LGC Uni" w:hAnsi="Tempora LGC Uni"/>
          <w:color w:val="000000"/>
          <w:sz w:val="24"/>
          <w:szCs w:val="24"/>
        </w:rPr>
        <w:t>4458,96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2021 год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3242,21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2022 год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15632,44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24798,36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2024 год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20866,78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 xml:space="preserve">2025 год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97344,59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тыс.руб.;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       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2026 год   16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225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,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5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1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2027 год  7369,93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из бюджетов поселений 20883,06 тыс. руб., из них: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      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2018 год – 10273,42 тыс. руб.; 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>2019 год – 10609,64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  <w:t xml:space="preserve">2020 год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–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      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2021 год – 0,00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  <w:t xml:space="preserve">2022 год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–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0,00 тыс. руб.; </w:t>
      </w:r>
    </w:p>
    <w:p>
      <w:pPr>
        <w:pStyle w:val="Normal"/>
        <w:spacing w:lineRule="auto" w:line="240" w:before="0" w:after="0"/>
        <w:ind w:firstLine="709" w:left="707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2023 год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–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0,00 тыс. руб.; 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       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2024 год – 0,00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>2025 год – 0,00 тыс. руб.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Таким образом, предлагаемым проектом предусмотрено увеличение объема финансирования на реализацию Программы за счет средств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бюджета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Ленинского муниципального района на сумму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116912,86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тыс. руб.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4"/>
          <w:szCs w:val="24"/>
        </w:rPr>
        <w:t>позицию  паспорта Программы «Объемы и источники финансирования Программы (подпрограммы)» и в разделы текстовой части паспорта Программы 5  «Обоснование объема финансовых ресурсов, необходимых для реализации муниципальной программы» и 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В связи с изменением объема финансирования изменения вносятся в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программы», </w:t>
      </w:r>
      <w:r>
        <w:rPr>
          <w:rFonts w:ascii="Tempora LGC Uni" w:hAnsi="Tempora LGC Uni"/>
          <w:color w:val="000000"/>
          <w:sz w:val="24"/>
          <w:szCs w:val="24"/>
        </w:rPr>
        <w:t>где целев</w:t>
      </w:r>
      <w:r>
        <w:rPr>
          <w:rFonts w:ascii="Tempora LGC Uni" w:hAnsi="Tempora LGC Uni"/>
          <w:color w:val="000000"/>
          <w:sz w:val="24"/>
          <w:szCs w:val="24"/>
        </w:rPr>
        <w:t>ой</w:t>
      </w:r>
      <w:r>
        <w:rPr>
          <w:rFonts w:ascii="Tempora LGC Uni" w:hAnsi="Tempora LGC Uni"/>
          <w:color w:val="000000"/>
          <w:sz w:val="24"/>
          <w:szCs w:val="24"/>
        </w:rPr>
        <w:t xml:space="preserve"> показател</w:t>
      </w:r>
      <w:r>
        <w:rPr>
          <w:rFonts w:ascii="Tempora LGC Uni" w:hAnsi="Tempora LGC Uni"/>
          <w:color w:val="000000"/>
          <w:sz w:val="24"/>
          <w:szCs w:val="24"/>
        </w:rPr>
        <w:t>ь</w:t>
      </w:r>
      <w:r>
        <w:rPr>
          <w:rFonts w:ascii="Tempora LGC Uni" w:hAnsi="Tempora LGC Uni"/>
          <w:color w:val="000000"/>
          <w:sz w:val="24"/>
          <w:szCs w:val="24"/>
        </w:rPr>
        <w:t>: «</w:t>
      </w:r>
      <w:r>
        <w:rPr>
          <w:rFonts w:ascii="Tempora LGC Uni" w:hAnsi="Tempora LGC Uni"/>
          <w:color w:val="000000"/>
          <w:sz w:val="24"/>
          <w:szCs w:val="24"/>
        </w:rPr>
        <w:t>Количество речных звеньев</w:t>
      </w:r>
      <w:r>
        <w:rPr>
          <w:rFonts w:ascii="Tempora LGC Uni" w:hAnsi="Tempora LGC Uni"/>
          <w:color w:val="000000"/>
          <w:sz w:val="24"/>
          <w:szCs w:val="24"/>
        </w:rPr>
        <w:t>» с 3</w:t>
      </w:r>
      <w:r>
        <w:rPr>
          <w:rFonts w:ascii="Tempora LGC Uni" w:hAnsi="Tempora LGC Uni"/>
          <w:color w:val="000000"/>
          <w:sz w:val="24"/>
          <w:szCs w:val="24"/>
        </w:rPr>
        <w:t>8 шт. увеличено до 39 шт.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4"/>
          <w:szCs w:val="24"/>
        </w:rPr>
        <w:t>Изменение срока реализации Программы до 2027 года внесено в позицию  паспорта Программы  «Сроки и этапы реализации Программы (подпрограммы)» и в раздел 2 текстовой части паспорта Программы «Цели, задачи, сроки и этапы реализации муниципальной программы».</w:t>
      </w:r>
    </w:p>
    <w:p>
      <w:pPr>
        <w:pStyle w:val="Normal"/>
        <w:widowControl/>
        <w:ind w:hanging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i/>
          <w:iCs/>
          <w:color w:val="000000"/>
          <w:sz w:val="24"/>
          <w:szCs w:val="24"/>
        </w:rPr>
        <w:tab/>
        <w:t>Проверкой проекта паспорта Программы установлен</w:t>
      </w:r>
      <w:r>
        <w:rPr>
          <w:rFonts w:ascii="Tempora LGC Uni" w:hAnsi="Tempora LGC Uni"/>
          <w:i/>
          <w:iCs/>
          <w:color w:val="000000"/>
          <w:sz w:val="24"/>
          <w:szCs w:val="24"/>
        </w:rPr>
        <w:t xml:space="preserve">о, что в </w:t>
      </w:r>
      <w:r>
        <w:rPr>
          <w:rFonts w:ascii="Tempora LGC Uni" w:hAnsi="Tempora LGC Uni"/>
          <w:i/>
          <w:iCs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 xml:space="preserve">позиции Паспорта «Объемы и источники финансирования Программы (подпрограммы)» </w:t>
      </w: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 xml:space="preserve">допущена арифметическая ошибка в общем </w:t>
      </w: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>объем</w:t>
      </w: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>е</w:t>
      </w: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 xml:space="preserve"> финансирования </w:t>
      </w: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>из бюджета района. Так, согласно арифметического подсчета объем финансирования из бюджета района составляет 198667,55 тыс. руб., тогда как звучит 219550,61 тыс. руб., расхождение на 20883,06 тыс. руб. Аналогичная арифметическая ошибка и в разделе 5 текстовой части паспорта Программы.</w:t>
      </w:r>
    </w:p>
    <w:p>
      <w:pPr>
        <w:pStyle w:val="Normal"/>
        <w:widowControl/>
        <w:ind w:hanging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ab/>
        <w:t>Следует отметить, что в позиции паспорта Программы «</w:t>
      </w:r>
      <w:r>
        <w:rPr>
          <w:rFonts w:cs="Times New Roman"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 xml:space="preserve">Целевые показатели Программы (подпрограммы)» звучит показатель «Количество речных звеньев». Согласно п.1.3.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4"/>
          <w:szCs w:val="24"/>
        </w:rPr>
        <w:t>Порядка, утвержденного Постановлением №573, целевой показатель это «количественная характеристика результата достижения цели и решения задачи муниципальной программы». Представленный показатель в позиции паспорта не отображает результат достижения цели и решения задач Программы, а только является количественным показателем.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форму 1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форму 2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форму 3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hanging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</w:r>
      <w:r>
        <w:rPr>
          <w:rFonts w:cs="Times New Roman" w:ascii="Tempora LGC Uni" w:hAnsi="Tempora LGC Uni"/>
          <w:b/>
          <w:color w:val="000000"/>
          <w:sz w:val="24"/>
          <w:szCs w:val="24"/>
          <w:u w:val="single"/>
        </w:rPr>
        <w:t>Вывод: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На основании изложенного, Контрольно-счетная палата считает представленный проект Постановления «О</w:t>
      </w:r>
      <w:r>
        <w:rPr>
          <w:rFonts w:cs="Times New Roman" w:ascii="Tempora LGC Uni" w:hAnsi="Tempora LGC Uni"/>
          <w:bCs/>
          <w:color w:val="000000"/>
          <w:sz w:val="24"/>
          <w:szCs w:val="24"/>
        </w:rPr>
        <w:t xml:space="preserve"> внесении изменений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в постановление администрации Ленинского муниципального района от 16.10.2017г. №493 «Об утверждении муниципальной  программы «Повышение безопасности дорожного движения в Ленинском муниципальном районе»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возможным к утверждению в предлагаемой редакции,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только после внесения соответствующих  изменений по устранению вышеназванных замечаний.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всех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замечани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й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.</w:t>
        <w:tab/>
      </w:r>
    </w:p>
    <w:p>
      <w:pPr>
        <w:pStyle w:val="Normal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Контрольно-счетная палата также обращает внимание, что в соответствии с п. 6.3. раздела 6 Порядка, утвержденного Постановлением №573, руководитель структурного подразделения администрации Ленинского муниципального района, определенный ответственным  исполнителем муниципальной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empora LGC Uni" w:hAnsi="Tempora LGC Uni" w:cs="Times New Roman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>района                                                                                                                          Т.В.Мололкина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 </w:t>
      </w:r>
    </w:p>
    <w:sectPr>
      <w:footerReference w:type="default" r:id="rId3"/>
      <w:type w:val="nextPage"/>
      <w:pgSz w:w="11906" w:h="16838"/>
      <w:pgMar w:left="1134" w:right="851" w:gutter="0" w:header="0" w:top="737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Tempora LGC Uni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2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b15827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styleId="Style16" w:customStyle="1">
    <w:name w:val="Верхний колонтитул Знак"/>
    <w:basedOn w:val="DefaultParagraphFont"/>
    <w:uiPriority w:val="99"/>
    <w:semiHidden/>
    <w:qFormat/>
    <w:rsid w:val="001f71c7"/>
    <w:rPr>
      <w:rFonts w:ascii="Times New Roman" w:hAnsi="Times New Roman" w:eastAsia="Times New Roman" w:cs="Times New Roman"/>
      <w:sz w:val="20"/>
      <w:szCs w:val="20"/>
    </w:rPr>
  </w:style>
  <w:style w:type="character" w:styleId="Style17" w:customStyle="1">
    <w:name w:val="Основной текст Знак"/>
    <w:basedOn w:val="DefaultParagraphFont"/>
    <w:qFormat/>
    <w:rsid w:val="001051b9"/>
    <w:rPr>
      <w:rFonts w:ascii="Calibri" w:hAnsi="Calibri" w:eastAsia="Calibri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114a8c"/>
    <w:rPr>
      <w:b/>
      <w:bCs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7"/>
    <w:rsid w:val="001051b9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b15827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b1582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b158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17e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1" w:customStyle="1">
    <w:name w:val="1"/>
    <w:qFormat/>
    <w:rsid w:val="00c2075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er">
    <w:name w:val="Header"/>
    <w:basedOn w:val="Normal"/>
    <w:link w:val="Style16"/>
    <w:uiPriority w:val="99"/>
    <w:semiHidden/>
    <w:rsid w:val="001f71c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ConsPlusNormal" w:customStyle="1">
    <w:name w:val="ConsPlusNormal"/>
    <w:qFormat/>
    <w:rsid w:val="00d62a2a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andard" w:customStyle="1">
    <w:name w:val="Standard"/>
    <w:qFormat/>
    <w:rsid w:val="008a0918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4e024c"/>
    <w:pPr>
      <w:spacing w:before="0" w:after="200"/>
      <w:ind w:left="720"/>
      <w:contextualSpacing/>
    </w:pPr>
    <w:rPr/>
  </w:style>
  <w:style w:type="paragraph" w:styleId="ConsPlusCell" w:customStyle="1">
    <w:name w:val="ConsPlusCell"/>
    <w:uiPriority w:val="99"/>
    <w:qFormat/>
    <w:rsid w:val="007b105a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E16B3-0A6C-4D6C-914F-9413773D2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6354</TotalTime>
  <Application>LibreOffice/7.6.0.3$Linux_X86_64 LibreOffice_project/60$Build-3</Application>
  <AppVersion>15.0000</AppVersion>
  <Pages>5</Pages>
  <Words>1591</Words>
  <Characters>11944</Characters>
  <CharactersWithSpaces>13909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2015-11-18T13:40:00Z</dcterms:created>
  <dc:creator>Суховеева</dc:creator>
  <dc:description/>
  <dc:language>ru-RU</dc:language>
  <cp:lastModifiedBy/>
  <cp:lastPrinted>2024-08-29T16:15:30Z</cp:lastPrinted>
  <dcterms:modified xsi:type="dcterms:W3CDTF">2024-08-29T16:43:08Z</dcterms:modified>
  <cp:revision>172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