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 xml:space="preserve">тел. 8-84478-42747, </w:t>
            </w:r>
            <w:r>
              <w:rPr>
                <w:sz w:val="22"/>
                <w:lang w:val="en-US"/>
              </w:rPr>
              <w:t>e</w:t>
            </w:r>
            <w:r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sz w:val="26"/>
              </w:rPr>
            </w:pPr>
            <w:r>
              <w:rPr>
                <w:sz w:val="26"/>
              </w:rPr>
              <w:t>№</w:t>
            </w:r>
            <w:r>
              <w:rPr>
                <w:sz w:val="26"/>
              </w:rPr>
              <w:t>5</w:t>
            </w:r>
            <w:r>
              <w:rPr>
                <w:sz w:val="26"/>
              </w:rPr>
              <w:t>2</w:t>
            </w:r>
            <w:r>
              <w:rPr>
                <w:sz w:val="26"/>
              </w:rPr>
              <w:t>/</w:t>
            </w:r>
            <w:r>
              <w:rPr>
                <w:sz w:val="26"/>
              </w:rPr>
              <w:t>607</w:t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color w:themeColor="text1" w:val="000000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 xml:space="preserve">  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>04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>.09.202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>4</w:t>
            </w:r>
            <w:r>
              <w:rPr>
                <w:rFonts w:ascii="Times New Roman" w:hAnsi="Times New Roman"/>
                <w:color w:themeColor="text1" w:val="000000"/>
                <w:sz w:val="26"/>
              </w:rPr>
              <w:t>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по итогам финансово — экономической экспертизы проекта </w:t>
      </w:r>
      <w:r>
        <w:rPr>
          <w:rFonts w:ascii="Tempora LGC Uni" w:hAnsi="Tempora LGC Uni"/>
          <w:b/>
          <w:color w:val="000000"/>
          <w:sz w:val="26"/>
          <w:szCs w:val="26"/>
        </w:rPr>
        <w:t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 №472 «Об утверждении муниципальной программы  «Комплексное  развитие сельских территорий  Ленинского муниципального района»  (</w:t>
      </w:r>
      <w:r>
        <w:rPr>
          <w:rFonts w:ascii="Tempora LGC Uni" w:hAnsi="Tempora LGC Uni"/>
          <w:color w:val="000000"/>
          <w:sz w:val="26"/>
          <w:szCs w:val="26"/>
        </w:rPr>
        <w:t>в редакции постановлений от 26.12.16 №582, от 31.01.17 №31, от 31.03.17 №146, от 10.05.17 №221, от 24.07.17 № 339, от 23.10.17 №517, от 14.12.17 №604, от 28.12.17 №656, от 18.04.18 №197, от 04.06.2018 №299, от 27.12.2018 №718, от 17.01.2019 №26, от 14.05.2019 №209, от 24.07.2019 №354, от 30.12.2019 №747, от 20.02.2020 №69, от 09.04.2020 №159, от 06.05.2020 №213, от 04.06.2020 №245, от 03.08.2020 №347, от 25.12.2020 №638, от 15.06.2021 №321, от 29.12.2021 №676, от 04.03.2022 №101, от 05.04.2022 №177, от 01.12.2022 №603, от 07.03.2023 №98, от 21.07.2023 №350, от 14.02.2024 №42).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empora LGC Uni" w:hAnsi="Tempora LGC Uni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2024 год</w:t>
      </w:r>
      <w:r>
        <w:rPr>
          <w:rFonts w:ascii="Tempora LGC Uni" w:hAnsi="Tempora LGC Uni"/>
          <w:color w:val="000000"/>
          <w:sz w:val="26"/>
          <w:szCs w:val="26"/>
        </w:rPr>
        <w:t xml:space="preserve"> и распоряжения на проведение экспертизы № 4</w:t>
      </w:r>
      <w:r>
        <w:rPr>
          <w:rFonts w:ascii="Tempora LGC Uni" w:hAnsi="Tempora LGC Uni"/>
          <w:color w:val="000000"/>
          <w:sz w:val="26"/>
          <w:szCs w:val="26"/>
        </w:rPr>
        <w:t>3</w:t>
      </w:r>
      <w:r>
        <w:rPr>
          <w:rFonts w:ascii="Tempora LGC Uni" w:hAnsi="Tempora LGC Uni"/>
          <w:color w:val="000000"/>
          <w:sz w:val="26"/>
          <w:szCs w:val="26"/>
        </w:rPr>
        <w:t xml:space="preserve">-р от </w:t>
      </w:r>
      <w:r>
        <w:rPr>
          <w:rFonts w:ascii="Tempora LGC Uni" w:hAnsi="Tempora LGC Uni"/>
          <w:color w:val="000000"/>
          <w:sz w:val="26"/>
          <w:szCs w:val="26"/>
        </w:rPr>
        <w:t>03</w:t>
      </w:r>
      <w:r>
        <w:rPr>
          <w:rFonts w:ascii="Tempora LGC Uni" w:hAnsi="Tempora LGC Uni"/>
          <w:color w:val="000000"/>
          <w:sz w:val="26"/>
          <w:szCs w:val="26"/>
        </w:rPr>
        <w:t>.09.202</w:t>
      </w:r>
      <w:r>
        <w:rPr>
          <w:rFonts w:ascii="Tempora LGC Uni" w:hAnsi="Tempora LGC Uni"/>
          <w:color w:val="000000"/>
          <w:sz w:val="26"/>
          <w:szCs w:val="26"/>
        </w:rPr>
        <w:t>4</w:t>
      </w:r>
      <w:r>
        <w:rPr>
          <w:rFonts w:ascii="Tempora LGC Uni" w:hAnsi="Tempora LGC Uni"/>
          <w:color w:val="000000"/>
          <w:sz w:val="26"/>
          <w:szCs w:val="26"/>
        </w:rPr>
        <w:t xml:space="preserve">г. Контрольно-счётной палатой Ленинского муниципального района </w:t>
      </w:r>
      <w:r>
        <w:rPr>
          <w:rFonts w:ascii="Tempora LGC Uni" w:hAnsi="Tempora LGC Uni"/>
          <w:color w:val="000000"/>
          <w:sz w:val="26"/>
          <w:szCs w:val="26"/>
        </w:rPr>
        <w:t xml:space="preserve">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19.10.2016г. № 472 «Об утверждении муниципальной программы «Комплексное  развитие сельских территорий  Ленинского муниципального района» (далее – проект Постановления, проект).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«Комплексное  развитие сельских территорий 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ходе подготовки заключения были  проанализированы вносимые изменения в Программу, направленные в Контрольно-счетную палату письмом Отдела по сельскому хозяйству и продовольствию администрации Ленинского муниципального района от 03.09.2024г. №131, к которому приложены:  проект Постановления;  проект паспорта Программы;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</w:t>
      </w:r>
      <w:r>
        <w:rPr>
          <w:rFonts w:ascii="Tempora LGC Uni" w:hAnsi="Tempora LGC Uni"/>
          <w:color w:val="000000"/>
          <w:sz w:val="26"/>
          <w:szCs w:val="26"/>
        </w:rPr>
        <w:t>заключения Отдела экономики и Финансового отдела администрации Ленинского муниципального района к проекту Программы; оценка вклада Программы в социально-экономическое развитие Ленинского муниципального района за 2023 год; финансово-экономическое обоснование с указанием факторов риска, оказывающие существенное влияние на сроки и результаты реализации Программы; обоснование результативности бюджетных расходов к проекту Программы на весь срок реализации; пояснительная записка к изменениям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ascii="Tempora LGC Uni" w:hAnsi="Tempora LGC Uni"/>
          <w:color w:val="000000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>Соисполнители Программы:</w:t>
      </w:r>
      <w:r>
        <w:rPr>
          <w:rFonts w:ascii="Tempora LGC Uni" w:hAnsi="Tempora LGC Uni"/>
          <w:color w:val="000000"/>
          <w:sz w:val="26"/>
          <w:szCs w:val="26"/>
        </w:rPr>
        <w:t xml:space="preserve"> отдел по жизнеобеспечению; отдел по социальной политике администрации  Ленинского муниципального района; отдел по культуре, молодежной политике, физической культуре и спорту администрации  Ленинского муниципального района; администрации сельских поселений Ленинского муниципального района; ТОС Ленинского муниципального района, МКУ ЛМР «Моставтотранс».</w:t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Основной целью Программы </w:t>
      </w:r>
      <w:r>
        <w:rPr>
          <w:rFonts w:ascii="Tempora LGC Uni" w:hAnsi="Tempora LGC Uni"/>
          <w:color w:val="000000"/>
          <w:sz w:val="26"/>
          <w:szCs w:val="26"/>
        </w:rPr>
        <w:t>является создание комфортных условий жизнедеятельности в сельской местности, стимулирование инвестиционной активности в агропромышленном комплексе путем создания благоприятных инфраструктурных условий в сельской местности,  содействие созданию  рабочих мест на селе, активизация участия граждан, проживающих в сельской местности, в реализации общественно значимых проектов, формирование позитивного отношения к сельской местности и сельскому образу жизни.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Основными задачами Программы </w:t>
      </w:r>
      <w:r>
        <w:rPr>
          <w:rFonts w:ascii="Tempora LGC Uni" w:hAnsi="Tempora LGC Uni"/>
          <w:color w:val="000000"/>
          <w:sz w:val="26"/>
          <w:szCs w:val="26"/>
        </w:rPr>
        <w:t>являются: удовлетворение потребностей сельского населения, в том числе молодых семей и молодых специалистов, в благоустроенном жилье;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 грантовая поддержка местных инициатив граждан, проживающих в сельской местности; поощрение и популяризация достижений в сфере развития сельских территорий; создание экологически безопасных условий жизнедеятельности в сельских поселениях, сохранение, восстановление и наращивание человеческого, культурного и природного потенциала сельских территорий; организация водоснабжения населения.</w:t>
      </w:r>
    </w:p>
    <w:p>
      <w:pPr>
        <w:pStyle w:val="NoSpacing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>Программа не содержит подпрограмм.</w:t>
      </w:r>
    </w:p>
    <w:p>
      <w:pPr>
        <w:pStyle w:val="ConsPlusCell"/>
        <w:widowControl w:val="false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Срок реализации Программы </w:t>
      </w:r>
      <w:r>
        <w:rPr>
          <w:rFonts w:ascii="Tempora LGC Uni" w:hAnsi="Tempora LGC Uni"/>
          <w:color w:val="000000"/>
          <w:sz w:val="26"/>
          <w:szCs w:val="26"/>
        </w:rPr>
        <w:t>в три этапа:</w:t>
      </w:r>
    </w:p>
    <w:p>
      <w:pPr>
        <w:pStyle w:val="ConsPlusCell"/>
        <w:widowControl w:val="false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1 этап  - 2017- 2018 годы;</w:t>
      </w:r>
    </w:p>
    <w:p>
      <w:pPr>
        <w:pStyle w:val="ConsPlusCell"/>
        <w:widowControl w:val="false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 этап  - 2019 год;</w:t>
      </w:r>
    </w:p>
    <w:p>
      <w:pPr>
        <w:pStyle w:val="ConsPlusCell"/>
        <w:widowControl w:val="false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3 этап  - 2020-2026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Кроме того, Программой предусмотрена реализация мероприятий государственн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ой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программ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ы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Волгоградской области «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Комплексное развитие сельских территорий», утвержденной постановлением Правительства Волгоградской области от 29 ноября 2013 г. N 681-п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, а в соответствии с п.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6.6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.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Порядк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а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, утвержденн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ого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Постановлением №573, «В случае если Программа включает в себя мероприятия, реализуемые в рамках национальных, федеральных и/или региональных проектов, крупномасштабных долгосрочных инвестиционных проектов, то срок реализации Программы может быть приведен в соответствие со сроком реализации таких проектов (продлен).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 76544,773 тыс. руб. в том числе: 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 федерального бюджета 7457,41тыс.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областного бюджета 58983,949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бюджета района 3012,154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бюджетов поселений 3873,389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внебюджетных источников 3217,871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77153,833 тыс. руб.,</w:t>
      </w:r>
      <w:r>
        <w:rPr>
          <w:rFonts w:ascii="Tempora LGC Uni" w:hAnsi="Tempora LGC Uni"/>
          <w:color w:val="000000"/>
          <w:sz w:val="26"/>
          <w:szCs w:val="26"/>
        </w:rPr>
        <w:t xml:space="preserve"> в том числе: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 федерального бюджета 7457,41тыс.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областного бюджета 58983,949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бюджета района 3621,214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бюджетов поселений 3873,389 тыс. руб.;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средства внебюджетных источников 3217,871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сумму 609,06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в текстовую часть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в раздел 5 «Обоснование объема финансовых ресурсов, необходимых для реализации муниципальной программы» и 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раздел 3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паспорта Программы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программы»,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color w:val="000000"/>
          <w:sz w:val="26"/>
          <w:szCs w:val="26"/>
        </w:rPr>
        <w:t>где отдельные целевые показатели изменены как в сторону увеличения, так и в сторону уменьшения.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2027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  «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Сроки и этапы реализации Программы (подпрограммы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текстовую часть паспорта Программы р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аздел 2 «Цели, задачи, сроки и этапы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форму 1 </w:t>
      </w:r>
      <w:r>
        <w:rPr>
          <w:rFonts w:ascii="Tempora LGC Uni" w:hAnsi="Tempora LGC Uni"/>
          <w:color w:val="000000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2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3</w:t>
      </w:r>
      <w:r>
        <w:rPr>
          <w:rFonts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целевым показателям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Проверкой соответствия Программы по содержанию Порядку, утвержденному Постановлением №573, нарушений не установлено.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ind w:firstLine="36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  <w:u w:val="single"/>
        </w:rPr>
        <w:t>Вывод: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19.10.2016г.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      </w:t>
      </w:r>
      <w:r>
        <w:rPr>
          <w:rFonts w:ascii="Tempora LGC Uni" w:hAnsi="Tempora LGC Uni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empora LGC Uni" w:hAnsi="Tempora LGC Uni"/>
          <w:color w:val="000000"/>
          <w:sz w:val="26"/>
          <w:szCs w:val="26"/>
        </w:rPr>
        <w:t>.</w:t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района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417" w:right="567" w:gutter="0" w:header="0" w:top="567" w:footer="567" w:bottom="62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388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sid w:val="00503887"/>
    <w:rPr/>
  </w:style>
  <w:style w:type="character" w:styleId="Hyperlink">
    <w:name w:val="Hyperlink"/>
    <w:rsid w:val="00503887"/>
    <w:rPr>
      <w:color w:val="0000FF"/>
      <w:u w:val="single"/>
    </w:rPr>
  </w:style>
  <w:style w:type="character" w:styleId="Style14" w:customStyle="1">
    <w:name w:val="Нижний колонтитул Знак"/>
    <w:basedOn w:val="DefaultParagraphFont"/>
    <w:qFormat/>
    <w:rsid w:val="00503887"/>
    <w:rPr/>
  </w:style>
  <w:style w:type="character" w:styleId="Style15" w:customStyle="1">
    <w:name w:val="Текст выноски Знак"/>
    <w:basedOn w:val="DefaultParagraphFont"/>
    <w:link w:val="BalloonText"/>
    <w:semiHidden/>
    <w:qFormat/>
    <w:rsid w:val="00503887"/>
    <w:rPr>
      <w:rFonts w:ascii="Tahoma" w:hAnsi="Tahoma"/>
      <w:sz w:val="16"/>
    </w:rPr>
  </w:style>
  <w:style w:type="character" w:styleId="Style16" w:customStyle="1">
    <w:name w:val="Верхний колонтитул Знак"/>
    <w:basedOn w:val="DefaultParagraphFont"/>
    <w:semiHidden/>
    <w:qFormat/>
    <w:rsid w:val="00503887"/>
    <w:rPr>
      <w:rFonts w:ascii="Times New Roman" w:hAnsi="Times New Roman"/>
      <w:sz w:val="20"/>
    </w:rPr>
  </w:style>
  <w:style w:type="character" w:styleId="Style17" w:customStyle="1">
    <w:name w:val="Гипертекстовая ссылка"/>
    <w:basedOn w:val="DefaultParagraphFont"/>
    <w:qFormat/>
    <w:rsid w:val="00503887"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50388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rsid w:val="0050388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semiHidden/>
    <w:qFormat/>
    <w:rsid w:val="00503887"/>
    <w:pPr>
      <w:spacing w:lineRule="auto" w:line="240" w:before="0" w:after="0"/>
    </w:pPr>
    <w:rPr>
      <w:rFonts w:ascii="Tahoma" w:hAnsi="Tahoma"/>
      <w:sz w:val="16"/>
    </w:rPr>
  </w:style>
  <w:style w:type="paragraph" w:styleId="NoSpacing">
    <w:name w:val="No Spacing"/>
    <w:qFormat/>
    <w:rsid w:val="0050388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1" w:customStyle="1">
    <w:name w:val="1"/>
    <w:qFormat/>
    <w:rsid w:val="0050388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er">
    <w:name w:val="Header"/>
    <w:basedOn w:val="Normal"/>
    <w:link w:val="Style16"/>
    <w:semiHidden/>
    <w:rsid w:val="0050388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0"/>
    </w:rPr>
  </w:style>
  <w:style w:type="paragraph" w:styleId="ConsPlusNormal" w:customStyle="1">
    <w:name w:val="ConsPlusNormal"/>
    <w:qFormat/>
    <w:rsid w:val="0050388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qFormat/>
    <w:rsid w:val="00503887"/>
    <w:pPr>
      <w:spacing w:lineRule="auto" w:line="240" w:before="0" w:after="0"/>
      <w:ind w:left="720"/>
      <w:contextualSpacing/>
    </w:pPr>
    <w:rPr>
      <w:sz w:val="24"/>
    </w:rPr>
  </w:style>
  <w:style w:type="paragraph" w:styleId="Standard" w:customStyle="1">
    <w:name w:val="Standard"/>
    <w:qFormat/>
    <w:rsid w:val="0050388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Cell" w:customStyle="1">
    <w:name w:val="ConsPlusCell"/>
    <w:basedOn w:val="Normal"/>
    <w:qFormat/>
    <w:rsid w:val="00503887"/>
    <w:pPr>
      <w:spacing w:lineRule="auto" w:line="240" w:before="0" w:after="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Simple 1"/>
    <w:basedOn w:val="a1"/>
    <w:rsid w:val="0050388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FC35C-5CC8-427B-A00F-A6355B2C8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1657</TotalTime>
  <Application>LibreOffice/7.6.0.3$Linux_X86_64 LibreOffice_project/60$Build-3</Application>
  <AppVersion>15.0000</AppVersion>
  <Pages>4</Pages>
  <Words>1353</Words>
  <Characters>10494</Characters>
  <CharactersWithSpaces>12014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2020-04-06T07:10:00Z</dcterms:created>
  <dc:creator>КСП</dc:creator>
  <dc:description/>
  <dc:language>ru-RU</dc:language>
  <cp:lastModifiedBy/>
  <cp:lastPrinted>2024-09-06T10:18:39Z</cp:lastPrinted>
  <dcterms:modified xsi:type="dcterms:W3CDTF">2024-09-06T11:21:51Z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