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9828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4673"/>
        <w:gridCol w:w="5154"/>
      </w:tblGrid>
      <w:tr>
        <w:trPr>
          <w:cantSplit w:val="true"/>
        </w:trPr>
        <w:tc>
          <w:tcPr>
            <w:tcW w:w="9827" w:type="dxa"/>
            <w:gridSpan w:val="2"/>
            <w:tcBorders/>
          </w:tcPr>
          <w:p>
            <w:pPr>
              <w:pStyle w:val="1"/>
              <w:jc w:val="center"/>
              <w:rPr/>
            </w:pPr>
            <w:r>
              <w:rPr/>
              <w:drawing>
                <wp:inline distT="0" distB="0" distL="0" distR="0">
                  <wp:extent cx="504825" cy="628650"/>
                  <wp:effectExtent l="0" t="0" r="0" b="0"/>
                  <wp:docPr id="1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401" w:hRule="atLeast"/>
          <w:cantSplit w:val="true"/>
        </w:trPr>
        <w:tc>
          <w:tcPr>
            <w:tcW w:w="9827" w:type="dxa"/>
            <w:gridSpan w:val="2"/>
            <w:tcBorders/>
          </w:tcPr>
          <w:p>
            <w:pPr>
              <w:pStyle w:val="1"/>
              <w:jc w:val="center"/>
              <w:rPr>
                <w:rFonts w:ascii="Cambria" w:hAnsi="Cambria"/>
                <w:b/>
                <w:color w:val="FFFFFF"/>
              </w:rPr>
            </w:pPr>
            <w:r>
              <w:rPr>
                <w:rFonts w:ascii="Cambria" w:hAnsi="Cambria"/>
                <w:b/>
                <w:color w:val="FFFFFF"/>
                <w:highlight w:val="darkBlue"/>
              </w:rPr>
              <w:t>КОНТРОЛЬНО-СЧЕТНАЯ ПАЛАТА</w:t>
            </w:r>
          </w:p>
        </w:tc>
      </w:tr>
      <w:tr>
        <w:trPr>
          <w:trHeight w:val="1011" w:hRule="atLeast"/>
          <w:cantSplit w:val="true"/>
        </w:trPr>
        <w:tc>
          <w:tcPr>
            <w:tcW w:w="9827" w:type="dxa"/>
            <w:gridSpan w:val="2"/>
            <w:tcBorders>
              <w:bottom w:val="thinThickSmallGap" w:sz="18" w:space="0" w:color="000000"/>
            </w:tcBorders>
          </w:tcPr>
          <w:p>
            <w:pPr>
              <w:pStyle w:val="1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Ленинского муниципального района  Волгоградской области</w:t>
            </w:r>
          </w:p>
          <w:p>
            <w:pPr>
              <w:pStyle w:val="1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ИНН 3415000099 КПП 341501001ОГРН 1103454000561</w:t>
            </w:r>
          </w:p>
          <w:p>
            <w:pPr>
              <w:pStyle w:val="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404620, Волгоградская областьг.Ленинск ул. Ленина д.209</w:t>
            </w:r>
          </w:p>
          <w:p>
            <w:pPr>
              <w:pStyle w:val="1"/>
              <w:jc w:val="center"/>
              <w:rPr>
                <w:rFonts w:ascii="Cambria" w:hAnsi="Cambria"/>
                <w:b/>
                <w:lang w:val="en-US"/>
              </w:rPr>
            </w:pPr>
            <w:r>
              <w:rPr>
                <w:sz w:val="16"/>
                <w:szCs w:val="16"/>
              </w:rPr>
              <w:t>тел</w:t>
            </w:r>
            <w:r>
              <w:rPr>
                <w:sz w:val="16"/>
                <w:szCs w:val="16"/>
                <w:lang w:val="en-US"/>
              </w:rPr>
              <w:t>. 8-84478-42747, e-mail: mololkina60@mail.ru</w:t>
            </w:r>
          </w:p>
        </w:tc>
      </w:tr>
      <w:tr>
        <w:trPr/>
        <w:tc>
          <w:tcPr>
            <w:tcW w:w="4673" w:type="dxa"/>
            <w:tcBorders>
              <w:top w:val="thinThickSmallGap" w:sz="18" w:space="0" w:color="000000"/>
            </w:tcBorders>
          </w:tcPr>
          <w:p>
            <w:pPr>
              <w:pStyle w:val="11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5154" w:type="dxa"/>
            <w:tcBorders>
              <w:top w:val="thinThickSmallGap" w:sz="18" w:space="0" w:color="000000"/>
            </w:tcBorders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/>
            </w:r>
          </w:p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/>
            </w:r>
          </w:p>
        </w:tc>
      </w:tr>
    </w:tbl>
    <w:p>
      <w:pPr>
        <w:pStyle w:val="1"/>
        <w:jc w:val="center"/>
        <w:rPr>
          <w:b/>
          <w:bCs/>
          <w:i w:val="false"/>
          <w:i w:val="false"/>
          <w:iCs w:val="false"/>
        </w:rPr>
      </w:pPr>
      <w:r>
        <w:rPr>
          <w:b/>
          <w:bCs/>
          <w:i w:val="false"/>
          <w:iCs w:val="false"/>
          <w:sz w:val="28"/>
          <w:szCs w:val="28"/>
        </w:rPr>
        <w:t xml:space="preserve">Информация </w:t>
      </w:r>
    </w:p>
    <w:p>
      <w:pPr>
        <w:pStyle w:val="1"/>
        <w:jc w:val="center"/>
        <w:rPr>
          <w:b/>
          <w:bCs/>
          <w:i w:val="false"/>
          <w:i w:val="false"/>
          <w:iCs w:val="false"/>
        </w:rPr>
      </w:pPr>
      <w:r>
        <w:rPr>
          <w:b/>
          <w:bCs/>
          <w:i w:val="false"/>
          <w:iCs w:val="false"/>
          <w:sz w:val="28"/>
          <w:szCs w:val="28"/>
        </w:rPr>
        <w:t xml:space="preserve">о проведении экспертизы проекта решения Ленинской районной Думы </w:t>
      </w:r>
    </w:p>
    <w:p>
      <w:pPr>
        <w:pStyle w:val="1"/>
        <w:jc w:val="center"/>
        <w:rPr>
          <w:b/>
          <w:bCs/>
          <w:i w:val="false"/>
          <w:i w:val="false"/>
          <w:iCs w:val="false"/>
        </w:rPr>
      </w:pPr>
      <w:r>
        <w:rPr>
          <w:b/>
          <w:bCs/>
          <w:i w:val="false"/>
          <w:iCs w:val="false"/>
          <w:color w:val="000000"/>
          <w:sz w:val="24"/>
          <w:szCs w:val="24"/>
        </w:rPr>
        <w:t>«О внесении изменений в решение Ленинской районной Думы от 19.12.2023г. №16/58</w:t>
      </w:r>
    </w:p>
    <w:p>
      <w:pPr>
        <w:pStyle w:val="1"/>
        <w:jc w:val="center"/>
        <w:rPr>
          <w:b/>
          <w:bCs/>
          <w:i w:val="false"/>
          <w:i w:val="false"/>
          <w:iCs w:val="false"/>
        </w:rPr>
      </w:pPr>
      <w:r>
        <w:rPr>
          <w:b/>
          <w:bCs/>
          <w:i w:val="false"/>
          <w:iCs w:val="false"/>
          <w:color w:val="000000"/>
          <w:sz w:val="24"/>
          <w:szCs w:val="24"/>
        </w:rPr>
        <w:t>«О бюджете Ленинского муниципального района на 2024 год и на плановый период 2025 и  2026 годов».</w:t>
      </w:r>
    </w:p>
    <w:p>
      <w:pPr>
        <w:pStyle w:val="1"/>
        <w:jc w:val="center"/>
        <w:rPr>
          <w:b/>
          <w:i/>
          <w:i/>
          <w:color w:val="000000"/>
          <w:sz w:val="24"/>
          <w:szCs w:val="24"/>
        </w:rPr>
      </w:pPr>
      <w:r>
        <w:rPr>
          <w:b/>
          <w:i/>
          <w:color w:val="000000"/>
          <w:sz w:val="24"/>
          <w:szCs w:val="24"/>
        </w:rPr>
      </w:r>
    </w:p>
    <w:p>
      <w:pPr>
        <w:pStyle w:val="1"/>
        <w:jc w:val="center"/>
        <w:rPr>
          <w:b/>
          <w:i/>
          <w:i/>
          <w:color w:val="000000"/>
          <w:sz w:val="24"/>
          <w:szCs w:val="24"/>
        </w:rPr>
      </w:pPr>
      <w:r>
        <w:rPr>
          <w:b/>
          <w:i/>
          <w:color w:val="000000"/>
          <w:sz w:val="24"/>
          <w:szCs w:val="24"/>
        </w:rPr>
      </w:r>
    </w:p>
    <w:p>
      <w:pPr>
        <w:pStyle w:val="1"/>
        <w:jc w:val="center"/>
        <w:rPr>
          <w:b/>
          <w:i/>
          <w:i/>
          <w:color w:val="000000"/>
          <w:sz w:val="24"/>
          <w:szCs w:val="24"/>
        </w:rPr>
      </w:pPr>
      <w:r>
        <w:rPr>
          <w:b/>
          <w:i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Настоящее заключение подготовлено Контрольно-счётной палатой Ленинского муниципального района с учётом требований Бюджетного кодекса РФ (далее - БК РФ), Федерального закона от 07.02.2011 № 6-ФЗ «Об общих принципах организации и деятельности контрольно-счетных органов субъектов Российской Федерации и муниципальных образований», в соответствии со Стандартом внешнего муниципального финансового контроля «Проведение экспертно-аналитического мероприятия», утвержденным распоряжением Контрольно-счетной палаты Ленинского муниципального района от 30.12.2015 № 48-р.  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  <w:u w:val="single"/>
        </w:rPr>
        <w:t>Основание для проведения экспертно-аналитического мероприятия:</w:t>
      </w:r>
    </w:p>
    <w:p>
      <w:pPr>
        <w:pStyle w:val="Normal"/>
        <w:spacing w:lineRule="auto" w:line="240" w:before="0" w:after="0"/>
        <w:ind w:firstLine="72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- план работы Контрольно-счётной палаты Ленинского муниципального района на 2024 год, утвержденный приказом от 25.12.2023г. №3;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- Положение «О Контрольно-счётной палате Ленинского муниципального района», утвержденной решением Ленинской районной Думы от 30.11.2021г. №20/63;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- Положение «О бюджетном процессе в Ленинском муниципальном районе», утвержденное решением Ленинской районной Думы от 16.06.2023г. №8/31  (далее - Положение о бюджетном процессе);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- распоряжение Контрольно-счётной палаты Ленинского муниципального района от 17.09.2024г. №49-р.  </w:t>
      </w:r>
    </w:p>
    <w:p>
      <w:pPr>
        <w:pStyle w:val="Normal"/>
        <w:spacing w:lineRule="auto" w:line="240" w:before="0" w:after="0"/>
        <w:ind w:firstLine="1" w:left="707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  <w:u w:val="single"/>
        </w:rPr>
        <w:t xml:space="preserve">Предмет экспертно-аналитического мероприятия: </w:t>
      </w:r>
    </w:p>
    <w:p>
      <w:pPr>
        <w:pStyle w:val="Normal"/>
        <w:spacing w:lineRule="auto" w:line="240" w:before="0" w:after="0"/>
        <w:ind w:firstLine="707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  <w:lang w:eastAsia="en-US"/>
        </w:rPr>
        <w:t xml:space="preserve">Соблюдение требований законодательства РФ и иных нормативных правовых актов РФ при подготовке 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проекта решения </w:t>
      </w:r>
      <w:r>
        <w:rPr>
          <w:rFonts w:cs="Times New Roman" w:ascii="Times New Roman" w:hAnsi="Times New Roman"/>
          <w:bCs/>
          <w:iCs/>
          <w:color w:val="000000"/>
          <w:sz w:val="24"/>
          <w:szCs w:val="24"/>
        </w:rPr>
        <w:t xml:space="preserve">Ленинской районной Думы Волгоградской области «О внесении изменений </w:t>
      </w:r>
      <w:r>
        <w:rPr>
          <w:rFonts w:cs="Times New Roman" w:ascii="Times New Roman" w:hAnsi="Times New Roman"/>
          <w:color w:val="000000"/>
          <w:sz w:val="24"/>
          <w:szCs w:val="24"/>
        </w:rPr>
        <w:t>в решение Ленинской районной Думы от 19.12.2023г. № 16/58 «О бюджете Ленинского муниципального района на 2024 год и на плановый период 2025 и 2026 годов».</w:t>
      </w:r>
    </w:p>
    <w:p>
      <w:pPr>
        <w:pStyle w:val="Normal"/>
        <w:tabs>
          <w:tab w:val="clear" w:pos="708"/>
          <w:tab w:val="left" w:pos="567" w:leader="none"/>
        </w:tabs>
        <w:spacing w:lineRule="auto" w:line="240" w:before="0" w:after="0"/>
        <w:ind w:firstLine="709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  <w:u w:val="single"/>
        </w:rPr>
        <w:t>Объекты  экспертно-аналитического мероприятия: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  <w:lang w:eastAsia="en-US"/>
        </w:rPr>
        <w:t xml:space="preserve">- 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Проект решения </w:t>
      </w:r>
      <w:r>
        <w:rPr>
          <w:rFonts w:cs="Times New Roman" w:ascii="Times New Roman" w:hAnsi="Times New Roman"/>
          <w:bCs/>
          <w:iCs/>
          <w:color w:val="000000"/>
          <w:sz w:val="24"/>
          <w:szCs w:val="24"/>
        </w:rPr>
        <w:t xml:space="preserve">Ленинской районной Думы Волгоградской области   «О внесении изменений </w:t>
      </w:r>
      <w:r>
        <w:rPr>
          <w:rFonts w:cs="Times New Roman" w:ascii="Times New Roman" w:hAnsi="Times New Roman"/>
          <w:color w:val="000000"/>
          <w:sz w:val="24"/>
          <w:szCs w:val="24"/>
        </w:rPr>
        <w:t>в решение Ленинской районной Думы от 19.12.2023г. № 16/58 «О бюджете Ленинского муниципального района на 2024 год и на плановый период 2025 и 2026 годов»;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- документы и материалы, представленные одновременно с ним.</w:t>
      </w:r>
    </w:p>
    <w:p>
      <w:pPr>
        <w:sectPr>
          <w:type w:val="nextPage"/>
          <w:pgSz w:w="11906" w:h="16838"/>
          <w:pgMar w:left="1134" w:right="1134" w:gutter="0" w:header="0" w:top="1134" w:footer="0" w:bottom="1134"/>
          <w:pgNumType w:fmt="decimal"/>
          <w:formProt w:val="false"/>
          <w:textDirection w:val="lrTb"/>
          <w:docGrid w:type="default" w:linePitch="100" w:charSpace="0"/>
        </w:sect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  <w:u w:val="single"/>
        </w:rPr>
        <w:t>Цель (цели) экспертно-аналитического мероприятия: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Оценка полноты и достоверности показателей, экономической эффективности и целесообразности принимаемых решений.</w:t>
      </w:r>
    </w:p>
    <w:p>
      <w:pPr>
        <w:pStyle w:val="12"/>
        <w:numPr>
          <w:ilvl w:val="0"/>
          <w:numId w:val="0"/>
        </w:numPr>
        <w:ind w:hanging="0" w:left="710"/>
        <w:jc w:val="both"/>
        <w:outlineLvl w:val="0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  <w:u w:val="single"/>
        </w:rPr>
        <w:t xml:space="preserve">Вопросы экспертно-аналитического мероприятия: 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hanging="0" w:left="710"/>
        <w:jc w:val="both"/>
        <w:outlineLvl w:val="0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- Общая характеристика исполнения бюджета;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  <w:lang w:eastAsia="en-US"/>
        </w:rPr>
        <w:t>- анализ изменения показателей доходной части бюджета;</w:t>
      </w:r>
    </w:p>
    <w:p>
      <w:pPr>
        <w:pStyle w:val="Normal"/>
        <w:spacing w:lineRule="auto" w:line="240" w:before="0" w:after="0"/>
        <w:ind w:firstLine="54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  <w:lang w:eastAsia="en-US"/>
        </w:rPr>
        <w:tab/>
        <w:t>- анализ изменения показателей расходной части бюджета;</w:t>
      </w:r>
    </w:p>
    <w:p>
      <w:pPr>
        <w:pStyle w:val="Normal"/>
        <w:spacing w:lineRule="auto" w:line="240" w:before="0" w:after="0"/>
        <w:ind w:firstLine="54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  <w:lang w:eastAsia="en-US"/>
        </w:rPr>
        <w:tab/>
        <w:t>- анализ изменения показателей дефицита бюджета;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851" w:leader="none"/>
        </w:tabs>
        <w:spacing w:lineRule="auto" w:line="240" w:before="0" w:after="0"/>
        <w:ind w:firstLine="709" w:left="0"/>
        <w:jc w:val="both"/>
        <w:outlineLvl w:val="0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- анализ изменения бюджетных ассигнований на реализацию муниципальных программ;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851" w:leader="none"/>
          <w:tab w:val="left" w:pos="993" w:leader="none"/>
        </w:tabs>
        <w:spacing w:lineRule="auto" w:line="240" w:before="0" w:after="0"/>
        <w:ind w:firstLine="720" w:left="0"/>
        <w:jc w:val="both"/>
        <w:outlineLvl w:val="0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- анализ изменения бюджетных ассигнований на реализацию межбюджетных трансфертов.</w:t>
      </w:r>
    </w:p>
    <w:p>
      <w:pPr>
        <w:pStyle w:val="Normal"/>
        <w:spacing w:lineRule="auto" w:line="240" w:before="0" w:after="0"/>
        <w:ind w:firstLine="708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  <w:u w:val="single"/>
        </w:rPr>
        <w:t xml:space="preserve">Исследуемый период: </w:t>
      </w:r>
    </w:p>
    <w:p>
      <w:pPr>
        <w:pStyle w:val="Normal"/>
        <w:spacing w:lineRule="auto" w:line="240" w:before="0" w:after="0"/>
        <w:ind w:firstLine="708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2024 год и плановый период 2025 и 2026 годов.</w:t>
      </w:r>
    </w:p>
    <w:p>
      <w:pPr>
        <w:pStyle w:val="Normal"/>
        <w:tabs>
          <w:tab w:val="clear" w:pos="708"/>
          <w:tab w:val="left" w:pos="1134" w:leader="none"/>
        </w:tabs>
        <w:spacing w:lineRule="auto" w:line="240" w:before="0" w:after="0"/>
        <w:ind w:firstLine="142" w:left="567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  <w:u w:val="single"/>
        </w:rPr>
        <w:t>Сроки проведения экспертно-аналитического мероприятия:</w:t>
      </w:r>
    </w:p>
    <w:p>
      <w:pPr>
        <w:pStyle w:val="Normal"/>
        <w:tabs>
          <w:tab w:val="clear" w:pos="708"/>
          <w:tab w:val="left" w:pos="1134" w:leader="none"/>
        </w:tabs>
        <w:spacing w:lineRule="auto" w:line="240" w:before="0" w:after="0"/>
        <w:ind w:firstLine="142" w:left="567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с 18.09.2024г.  по 20.09.2024г.</w:t>
      </w:r>
    </w:p>
    <w:p>
      <w:pPr>
        <w:pStyle w:val="Normal"/>
        <w:tabs>
          <w:tab w:val="clear" w:pos="708"/>
          <w:tab w:val="left" w:pos="1134" w:leader="none"/>
        </w:tabs>
        <w:spacing w:lineRule="auto" w:line="240" w:before="0" w:after="0"/>
        <w:ind w:firstLine="142" w:left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tabs>
          <w:tab w:val="clear" w:pos="708"/>
          <w:tab w:val="left" w:pos="567" w:leader="none"/>
        </w:tabs>
        <w:spacing w:lineRule="auto" w:line="240" w:before="0" w:after="0"/>
        <w:ind w:firstLine="720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  <w:u w:val="single"/>
        </w:rPr>
        <w:t>Результаты экспертно-аналитического мероприятия:</w:t>
      </w:r>
    </w:p>
    <w:p>
      <w:pPr>
        <w:pStyle w:val="Normal"/>
        <w:spacing w:lineRule="auto" w:line="240" w:before="0" w:after="0"/>
        <w:ind w:firstLine="72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Проект решения Ленинской районной Думы Волгоградской области              «О внесении изменений в решение Ленинской районной Думы от 19.12.2023г. №16/58 «О бюджете Ленинского муниципального района на 2024 год и на плановый период 2025 и 2026 годов» (далее - проект решения о бюджете) представлен  Финансовым отделом администрации Ленинского муниципального района Волгоградской области  (далее – Финансовый отдел) в Контрольно-счетную палату Ленинского муниципального района (далее - КСП; Контрольно-счетная палата) в электронном виде для проведения экспертизы 17.09.2024г.</w:t>
      </w:r>
    </w:p>
    <w:p>
      <w:pPr>
        <w:pStyle w:val="Normal"/>
        <w:shd w:val="clear" w:color="auto" w:fill="FFFFFF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Основные причины изменений бюджета Ленинского муниципального района на 2024 год и на плановый период 2025 и 2026 годов:</w:t>
      </w:r>
    </w:p>
    <w:p>
      <w:pPr>
        <w:pStyle w:val="Normal"/>
        <w:shd w:val="clear" w:color="auto" w:fill="FFFFFF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- уточнение доходов бюджета Ленинского муниципального района;</w:t>
      </w:r>
    </w:p>
    <w:p>
      <w:pPr>
        <w:pStyle w:val="Normal"/>
        <w:shd w:val="clear" w:color="auto" w:fill="FFFFFF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- уточнение расходов бюджета Ленинского муниципального района; 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- уточнение расходов бюджета по отдельным главным распорядителям бюджетных средств, по отдельным направлениям расходования бюджетных средств, в т.ч. путем их перераспределения.</w:t>
      </w:r>
    </w:p>
    <w:p>
      <w:pPr>
        <w:pStyle w:val="12"/>
        <w:shd w:val="clear" w:color="auto" w:fill="FFFFFF"/>
        <w:ind w:firstLine="708" w:left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</w:rPr>
        <w:t>Проектом решения о бюджете предлагается  статьи 1 и 4 изложить в новой редакции. Кроме того, принимаются в новой редакции и приложения 1, 2, 3, 4, 5, 6, 7, 10.</w:t>
      </w:r>
    </w:p>
    <w:p>
      <w:pPr>
        <w:pStyle w:val="Normal"/>
        <w:spacing w:lineRule="auto" w:line="240" w:before="0" w:after="0"/>
        <w:ind w:firstLine="72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Проектом решения о бюджете предусмотрено изменение основных характеристик бюджета на 2024 год: </w:t>
      </w:r>
    </w:p>
    <w:p>
      <w:pPr>
        <w:pStyle w:val="Normal"/>
        <w:spacing w:lineRule="auto" w:line="240" w:before="0" w:after="0"/>
        <w:ind w:firstLine="72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- увеличение общего объёма доходов на 24285,46 тыс. руб.;</w:t>
      </w:r>
    </w:p>
    <w:p>
      <w:pPr>
        <w:pStyle w:val="Normal"/>
        <w:spacing w:lineRule="auto" w:line="240" w:before="0" w:after="0"/>
        <w:ind w:firstLine="72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- увеличение общего объема расходов на 25349,72 тыс. руб.</w:t>
      </w:r>
    </w:p>
    <w:p>
      <w:pPr>
        <w:pStyle w:val="Normal"/>
        <w:spacing w:lineRule="auto" w:line="240" w:before="0" w:after="0"/>
        <w:ind w:firstLine="72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Согласно проекта решения о бюджете общий объём доходов бюджета Ленинского муниципального района в 2024 году составит 853952,20 тыс. руб., общий объём расходов бюджета  868525,22 тыс. руб., дефицит бюджета в размере 14573,02 тыс. руб.</w:t>
      </w:r>
    </w:p>
    <w:p>
      <w:pPr>
        <w:pStyle w:val="Normal"/>
        <w:shd w:val="clear" w:color="auto" w:fill="FFFFFF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  <w:highlight w:val="yellow"/>
        </w:rPr>
      </w:r>
    </w:p>
    <w:p>
      <w:pPr>
        <w:pStyle w:val="12"/>
        <w:numPr>
          <w:ilvl w:val="0"/>
          <w:numId w:val="1"/>
        </w:numPr>
        <w:shd w:val="clear" w:color="auto" w:fill="FFFFFF"/>
        <w:jc w:val="center"/>
        <w:rPr>
          <w:color w:val="000000"/>
        </w:rPr>
      </w:pPr>
      <w:r>
        <w:rPr>
          <w:rFonts w:ascii="Times New Roman" w:hAnsi="Times New Roman"/>
          <w:b/>
          <w:i/>
          <w:color w:val="000000"/>
          <w:sz w:val="24"/>
          <w:szCs w:val="24"/>
          <w:lang w:eastAsia="en-US"/>
        </w:rPr>
        <w:t>Анализ изменения показателей доходной части бюджета</w:t>
      </w:r>
    </w:p>
    <w:p>
      <w:pPr>
        <w:pStyle w:val="BlockText"/>
        <w:pBdr>
          <w:top w:val="nil"/>
          <w:left w:val="nil"/>
          <w:bottom w:val="nil"/>
          <w:right w:val="nil"/>
        </w:pBdr>
        <w:ind w:firstLine="708" w:left="0" w:right="-6"/>
        <w:rPr>
          <w:b w:val="false"/>
          <w:i w:val="false"/>
          <w:i w:val="false"/>
          <w:color w:val="000000"/>
          <w:sz w:val="24"/>
        </w:rPr>
      </w:pPr>
      <w:r>
        <w:rPr>
          <w:b w:val="false"/>
          <w:i w:val="false"/>
          <w:color w:val="000000"/>
          <w:sz w:val="24"/>
        </w:rPr>
      </w:r>
    </w:p>
    <w:p>
      <w:pPr>
        <w:pStyle w:val="BlockText"/>
        <w:pBdr>
          <w:top w:val="nil"/>
          <w:left w:val="nil"/>
          <w:bottom w:val="nil"/>
          <w:right w:val="nil"/>
        </w:pBdr>
        <w:ind w:firstLine="708" w:left="0" w:right="-6"/>
        <w:rPr/>
      </w:pPr>
      <w:r>
        <w:rPr>
          <w:b w:val="false"/>
          <w:i w:val="false"/>
          <w:color w:val="000000"/>
          <w:sz w:val="24"/>
        </w:rPr>
        <w:t xml:space="preserve">При проведении экспертизы представленного проекта решения о бюджете и приложений к нему </w:t>
      </w:r>
      <w:r>
        <w:rPr>
          <w:b w:val="false"/>
          <w:bCs w:val="false"/>
          <w:i w:val="false"/>
          <w:iCs w:val="false"/>
          <w:color w:val="000000"/>
          <w:sz w:val="24"/>
        </w:rPr>
        <w:t xml:space="preserve">Контрольно-счетной палатой установлено </w:t>
      </w:r>
      <w:r>
        <w:rPr>
          <w:rStyle w:val="CharAttribute2"/>
          <w:rFonts w:eastAsia="Calibri"/>
          <w:b w:val="false"/>
          <w:bCs w:val="false"/>
          <w:i w:val="false"/>
          <w:iCs w:val="false"/>
          <w:color w:val="000000"/>
        </w:rPr>
        <w:t xml:space="preserve">увеличение доходной части бюджета Ленинского муниципального района на 24285,46 тыс. руб. или на 2,93 % и общий объем доходов составит 853952,20 тыс. руб. </w:t>
      </w:r>
    </w:p>
    <w:p>
      <w:pPr>
        <w:pStyle w:val="1"/>
        <w:ind w:firstLine="708"/>
        <w:jc w:val="both"/>
        <w:rPr>
          <w:color w:val="000000"/>
        </w:rPr>
      </w:pPr>
      <w:r>
        <w:rPr>
          <w:color w:val="000000"/>
          <w:sz w:val="24"/>
          <w:szCs w:val="24"/>
        </w:rPr>
        <w:t>Увеличение объема доходной части бюджета произведено  как за счет увеличения объема собственных доходов, так и безвозмездных поступлений с областного бюджета в виде субсидий, субвенций и межбюджетных трансфертов.</w:t>
      </w:r>
    </w:p>
    <w:p>
      <w:pPr>
        <w:pStyle w:val="1"/>
        <w:ind w:firstLine="708"/>
        <w:jc w:val="both"/>
        <w:rPr>
          <w:color w:val="000000"/>
        </w:rPr>
      </w:pPr>
      <w:r>
        <w:rPr>
          <w:color w:val="000000"/>
          <w:sz w:val="24"/>
          <w:szCs w:val="24"/>
        </w:rPr>
        <w:t>Увеличение объема доходов за счет собственных средств на 2024 год произведено на сумму 7626,56 тыс. руб. или на 3,55%, в том числе: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- за счет увеличения поступления налоговых доходов на сумму 7534,0 тыс. руб.;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- за счет увеличения поступления неналоговых доходов на сумму 92,56 тыс. руб. </w:t>
      </w:r>
    </w:p>
    <w:p>
      <w:pPr>
        <w:pStyle w:val="1"/>
        <w:ind w:firstLine="708"/>
        <w:jc w:val="both"/>
        <w:rPr>
          <w:color w:val="000000"/>
        </w:rPr>
      </w:pPr>
      <w:r>
        <w:rPr>
          <w:color w:val="000000"/>
          <w:sz w:val="24"/>
          <w:szCs w:val="24"/>
        </w:rPr>
        <w:t>Объем собственных доходов составит 222232,04 тыс. руб.</w:t>
      </w:r>
    </w:p>
    <w:p>
      <w:pPr>
        <w:pStyle w:val="1"/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1"/>
        <w:ind w:firstLine="708"/>
        <w:jc w:val="both"/>
        <w:rPr>
          <w:color w:val="000000"/>
        </w:rPr>
      </w:pPr>
      <w:r>
        <w:rPr>
          <w:color w:val="000000"/>
          <w:sz w:val="24"/>
          <w:szCs w:val="24"/>
        </w:rPr>
        <w:t xml:space="preserve">Объем безвозмездных поступлений в районный бюджет на 2024 год, согласно проекта решения, увеличивается на 16658,90 тыс. руб. или на 2,7% и составит 631720,16 тыс. руб. 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 xml:space="preserve">Субсидии увеличиваются на </w:t>
      </w:r>
      <w:r>
        <w:rPr>
          <w:rFonts w:cs="Times New Roman" w:ascii="Times New Roman" w:hAnsi="Times New Roman"/>
          <w:b/>
          <w:color w:val="000000"/>
          <w:sz w:val="24"/>
          <w:szCs w:val="24"/>
        </w:rPr>
        <w:t>сумму 190,50 тыс. руб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., в том числе: </w:t>
      </w:r>
    </w:p>
    <w:p>
      <w:pPr>
        <w:pStyle w:val="Normal"/>
        <w:spacing w:lineRule="auto" w:line="240"/>
        <w:ind w:firstLine="708" w:right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- на основании уведомления Комитета образования, науки и молодежной политики Волгоградской области от 13.06.2024 №22012 субсидия на организацию отдыха детей в каникулярный период в лагерях дневного пребывания </w:t>
      </w:r>
      <w:r>
        <w:rPr>
          <w:rFonts w:cs="Times New Roman" w:ascii="Times New Roman" w:hAnsi="Times New Roman"/>
          <w:b w:val="false"/>
          <w:bCs w:val="false"/>
          <w:color w:val="000000"/>
          <w:sz w:val="24"/>
          <w:szCs w:val="24"/>
        </w:rPr>
        <w:t xml:space="preserve"> 190,50 тыс. руб.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u w:val="single"/>
        </w:rPr>
        <w:t xml:space="preserve">Субвенции увеличиваются на </w:t>
      </w:r>
      <w:r>
        <w:rPr>
          <w:rFonts w:cs="Times New Roman" w:ascii="Times New Roman" w:hAnsi="Times New Roman"/>
          <w:b/>
          <w:color w:val="000000"/>
          <w:sz w:val="24"/>
          <w:szCs w:val="24"/>
          <w:u w:val="single"/>
        </w:rPr>
        <w:t>сумму 6209,50 тыс. руб</w:t>
      </w:r>
      <w:r>
        <w:rPr>
          <w:rFonts w:cs="Times New Roman" w:ascii="Times New Roman" w:hAnsi="Times New Roman"/>
          <w:color w:val="000000"/>
          <w:sz w:val="24"/>
          <w:szCs w:val="24"/>
          <w:u w:val="single"/>
        </w:rPr>
        <w:t xml:space="preserve">., в том числе: 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u w:val="single"/>
        </w:rPr>
        <w:t xml:space="preserve">увеличение на 11347,80 тыс. руб. </w:t>
      </w:r>
      <w:r>
        <w:rPr>
          <w:rFonts w:cs="Times New Roman" w:ascii="Times New Roman" w:hAnsi="Times New Roman"/>
          <w:color w:val="000000"/>
          <w:sz w:val="24"/>
          <w:szCs w:val="24"/>
          <w:u w:val="single"/>
        </w:rPr>
        <w:t>на основании:</w:t>
      </w:r>
    </w:p>
    <w:p>
      <w:pPr>
        <w:pStyle w:val="Empty"/>
        <w:shd w:val="clear" w:color="auto" w:fill="FFFFFF"/>
        <w:spacing w:beforeAutospacing="0" w:before="0" w:afterAutospacing="0" w:after="0"/>
        <w:jc w:val="both"/>
        <w:rPr>
          <w:color w:val="000000"/>
        </w:rPr>
      </w:pPr>
      <w:r>
        <w:rPr>
          <w:color w:val="000000"/>
        </w:rPr>
        <w:t> </w:t>
      </w:r>
      <w:r>
        <w:rPr>
          <w:rFonts w:ascii="Tempora LGC Uni" w:hAnsi="Tempora LGC Uni"/>
          <w:color w:val="000000"/>
          <w:sz w:val="24"/>
          <w:szCs w:val="24"/>
        </w:rPr>
        <w:tab/>
        <w:t xml:space="preserve">- уведомления ОБЛКОМКУЛЬТУРЫ №21305 от 17.06.2024 субвенция на осуществление государственных полномочий Волгоградской области по хранению, комплектованию, учету и использованию архивных документов и фондов </w:t>
      </w:r>
      <w:r>
        <w:rPr>
          <w:rFonts w:ascii="Tempora LGC Uni" w:hAnsi="Tempora LGC Uni"/>
          <w:b/>
          <w:color w:val="000000"/>
          <w:sz w:val="24"/>
          <w:szCs w:val="24"/>
        </w:rPr>
        <w:t xml:space="preserve"> </w:t>
      </w:r>
      <w:r>
        <w:rPr>
          <w:rFonts w:ascii="Tempora LGC Uni" w:hAnsi="Tempora LGC Uni"/>
          <w:b w:val="false"/>
          <w:bCs w:val="false"/>
          <w:color w:val="000000"/>
          <w:sz w:val="24"/>
          <w:szCs w:val="24"/>
        </w:rPr>
        <w:t>0,3 тыс. руб.;</w:t>
      </w:r>
    </w:p>
    <w:p>
      <w:pPr>
        <w:pStyle w:val="Normal"/>
        <w:spacing w:lineRule="auto" w:line="240" w:before="0" w:after="0"/>
        <w:ind w:hanging="0" w:right="0"/>
        <w:jc w:val="both"/>
        <w:rPr>
          <w:color w:val="000000"/>
        </w:rPr>
      </w:pPr>
      <w:r>
        <w:rPr>
          <w:rFonts w:ascii="Tempora LGC Uni" w:hAnsi="Tempora LGC Uni"/>
          <w:color w:val="000000"/>
          <w:sz w:val="24"/>
          <w:szCs w:val="24"/>
        </w:rPr>
        <w:tab/>
        <w:t xml:space="preserve">- уведомления Комитета образования, науки и молодежной политики Волгоградской области от 13.06.2024 №3453, от 13.06.2024 №20779 субвенция на осуществление образовательного процесса по реализации образовательных программ начального общего, основного общего, среднего общего образования муниципальными общеобразовательными организациями на оплату труда и начислений педагогическим работникам </w:t>
      </w:r>
      <w:r>
        <w:rPr>
          <w:rFonts w:ascii="Tempora LGC Uni" w:hAnsi="Tempora LGC Uni"/>
          <w:b w:val="false"/>
          <w:bCs w:val="false"/>
          <w:color w:val="000000"/>
          <w:sz w:val="24"/>
          <w:szCs w:val="24"/>
        </w:rPr>
        <w:t>7566,80 тыс. руб.;</w:t>
      </w:r>
    </w:p>
    <w:p>
      <w:pPr>
        <w:pStyle w:val="Normal"/>
        <w:spacing w:lineRule="auto" w:line="240" w:before="0" w:after="0"/>
        <w:ind w:hanging="0" w:right="0"/>
        <w:jc w:val="both"/>
        <w:rPr>
          <w:color w:val="000000"/>
        </w:rPr>
      </w:pPr>
      <w:r>
        <w:rPr>
          <w:rFonts w:ascii="Tempora LGC Uni" w:hAnsi="Tempora LGC Uni"/>
          <w:color w:val="000000"/>
          <w:sz w:val="24"/>
          <w:szCs w:val="24"/>
        </w:rPr>
        <w:tab/>
        <w:t xml:space="preserve">- уведомления Комитета образования, науки и молодежной политики Волгоградской области от 13.06.2024 №21002 субвенция на осуществление образовательного процесса по реализации образовательных программ начального общего, основного общего, среднего общего образования муниципальными общеобразовательными организациями на оплату труда и начислений педагогическим работникам  </w:t>
      </w:r>
      <w:r>
        <w:rPr>
          <w:rFonts w:ascii="Tempora LGC Uni" w:hAnsi="Tempora LGC Uni"/>
          <w:b w:val="false"/>
          <w:bCs w:val="false"/>
          <w:color w:val="000000"/>
          <w:sz w:val="24"/>
          <w:szCs w:val="24"/>
        </w:rPr>
        <w:t>3780,70 тыс. руб.</w:t>
      </w:r>
      <w:r>
        <w:rPr>
          <w:rFonts w:ascii="Tempora LGC Uni" w:hAnsi="Tempora LGC Uni"/>
          <w:color w:val="000000"/>
          <w:sz w:val="24"/>
          <w:szCs w:val="24"/>
        </w:rPr>
        <w:t>;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u w:val="single"/>
        </w:rPr>
        <w:t>уменьшение на 5138,30 тыс. руб.</w:t>
      </w:r>
      <w:r>
        <w:rPr>
          <w:rFonts w:cs="Times New Roman" w:ascii="Times New Roman" w:hAnsi="Times New Roman"/>
          <w:color w:val="000000"/>
          <w:sz w:val="24"/>
          <w:szCs w:val="24"/>
          <w:u w:val="single"/>
        </w:rPr>
        <w:t xml:space="preserve"> на основании:</w:t>
      </w:r>
    </w:p>
    <w:p>
      <w:pPr>
        <w:pStyle w:val="Normal"/>
        <w:shd w:val="clear" w:color="auto" w:fill="FFFFFF"/>
        <w:spacing w:lineRule="auto" w:line="240" w:beforeAutospacing="0" w:before="0" w:afterAutospacing="0" w:after="0"/>
        <w:ind w:hanging="0"/>
        <w:jc w:val="both"/>
        <w:rPr>
          <w:color w:val="000000"/>
        </w:rPr>
      </w:pPr>
      <w:r>
        <w:rPr>
          <w:rFonts w:ascii="Tempora LGC Uni" w:hAnsi="Tempora LGC Uni"/>
          <w:color w:val="000000"/>
          <w:sz w:val="24"/>
          <w:szCs w:val="24"/>
        </w:rPr>
        <w:tab/>
        <w:t xml:space="preserve">- уведомления КТР Волгоградской области №22702 от 14.06.2024 субвенции на компенсацию (возмещение) выпадающих доходов ресурсоснабжающих организаций, связанных с применением льготных тарифов </w:t>
      </w:r>
      <w:r>
        <w:rPr>
          <w:rFonts w:ascii="Tempora LGC Uni" w:hAnsi="Tempora LGC Uni"/>
          <w:b w:val="false"/>
          <w:bCs w:val="false"/>
          <w:color w:val="000000"/>
          <w:sz w:val="24"/>
          <w:szCs w:val="24"/>
        </w:rPr>
        <w:t>393,70 тыс. руб.;</w:t>
      </w:r>
    </w:p>
    <w:p>
      <w:pPr>
        <w:pStyle w:val="Empty"/>
        <w:shd w:val="clear" w:color="auto" w:fill="FFFFFF"/>
        <w:spacing w:lineRule="auto" w:line="240" w:beforeAutospacing="0" w:before="0" w:afterAutospacing="0" w:after="0"/>
        <w:ind w:hanging="0"/>
        <w:jc w:val="both"/>
        <w:rPr>
          <w:color w:val="000000"/>
        </w:rPr>
      </w:pPr>
      <w:r>
        <w:rPr>
          <w:rFonts w:ascii="Tempora LGC Uni" w:hAnsi="Tempora LGC Uni"/>
          <w:color w:val="000000"/>
          <w:sz w:val="24"/>
          <w:szCs w:val="24"/>
        </w:rPr>
        <w:tab/>
        <w:t xml:space="preserve">- уведомления Комитета юстиции Волгоградской области №20769 от 13.06.2024 субвенция на осуществление переданных органам местного самоуправления в соответствии с пунктом 1 ст.4 ФЗ «Об актах гражданского состояния» полномочий РФ на государственную регистрацию актов гражданского состояния </w:t>
      </w:r>
      <w:r>
        <w:rPr>
          <w:rFonts w:ascii="Tempora LGC Uni" w:hAnsi="Tempora LGC Uni"/>
          <w:b/>
          <w:color w:val="000000"/>
          <w:sz w:val="24"/>
          <w:szCs w:val="24"/>
        </w:rPr>
        <w:t>49,9 тыс. руб.</w:t>
      </w:r>
      <w:r>
        <w:rPr>
          <w:rFonts w:ascii="Tempora LGC Uni" w:hAnsi="Tempora LGC Uni"/>
          <w:color w:val="000000"/>
          <w:sz w:val="24"/>
          <w:szCs w:val="24"/>
        </w:rPr>
        <w:t>;</w:t>
      </w:r>
    </w:p>
    <w:p>
      <w:pPr>
        <w:pStyle w:val="Normal"/>
        <w:spacing w:lineRule="auto" w:line="240" w:before="0" w:after="0"/>
        <w:ind w:hanging="0" w:right="0"/>
        <w:jc w:val="both"/>
        <w:rPr>
          <w:color w:val="000000"/>
        </w:rPr>
      </w:pPr>
      <w:r>
        <w:rPr>
          <w:rFonts w:ascii="Tempora LGC Uni" w:hAnsi="Tempora LGC Uni"/>
          <w:color w:val="000000"/>
          <w:sz w:val="24"/>
          <w:szCs w:val="24"/>
        </w:rPr>
        <w:tab/>
        <w:t xml:space="preserve">- уведомления Комитета образования, науки и молодежной политики Волгоградской области от 13.06.2024 №19427, 13.06.2024 №1622 субвенции на осуществление образовательного процесса по реализации образовательных программ дошкольного образования муниципальными дошкольными образовательными организациями </w:t>
      </w:r>
      <w:r>
        <w:rPr>
          <w:rFonts w:ascii="Tempora LGC Uni" w:hAnsi="Tempora LGC Uni"/>
          <w:b w:val="false"/>
          <w:bCs w:val="false"/>
          <w:color w:val="000000"/>
          <w:sz w:val="24"/>
          <w:szCs w:val="24"/>
        </w:rPr>
        <w:t>4694,70 тыс. руб.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empora LGC Uni" w:hAnsi="Tempora LGC Uni"/>
          <w:b/>
          <w:color w:val="000000"/>
          <w:sz w:val="24"/>
          <w:szCs w:val="24"/>
          <w:u w:val="single"/>
        </w:rPr>
        <w:t>Иные</w:t>
      </w:r>
      <w:r>
        <w:rPr>
          <w:rFonts w:cs="Times New Roman" w:ascii="Tempora LGC Uni" w:hAnsi="Tempora LGC Uni"/>
          <w:color w:val="000000"/>
          <w:sz w:val="24"/>
          <w:szCs w:val="24"/>
          <w:u w:val="single"/>
        </w:rPr>
        <w:t xml:space="preserve"> </w:t>
      </w:r>
      <w:r>
        <w:rPr>
          <w:rFonts w:cs="Times New Roman" w:ascii="Tempora LGC Uni" w:hAnsi="Tempora LGC Uni"/>
          <w:b/>
          <w:bCs/>
          <w:color w:val="000000"/>
          <w:sz w:val="24"/>
          <w:szCs w:val="24"/>
          <w:u w:val="single"/>
        </w:rPr>
        <w:t xml:space="preserve">межбюджетные трансферты увеличиваются </w:t>
      </w:r>
      <w:r>
        <w:rPr>
          <w:rFonts w:cs="Times New Roman" w:ascii="Tempora LGC Uni" w:hAnsi="Tempora LGC Uni"/>
          <w:b/>
          <w:color w:val="000000"/>
          <w:sz w:val="24"/>
          <w:szCs w:val="24"/>
          <w:u w:val="single"/>
        </w:rPr>
        <w:t>на общую сумму 10258,90 тыс. руб.</w:t>
      </w:r>
      <w:r>
        <w:rPr>
          <w:rFonts w:cs="Times New Roman" w:ascii="Tempora LGC Uni" w:hAnsi="Tempora LGC Uni"/>
          <w:color w:val="000000"/>
          <w:sz w:val="24"/>
          <w:szCs w:val="24"/>
          <w:u w:val="single"/>
        </w:rPr>
        <w:t>,</w:t>
      </w:r>
      <w:r>
        <w:rPr>
          <w:rFonts w:cs="Times New Roman" w:ascii="Tempora LGC Uni" w:hAnsi="Tempora LGC Uni"/>
          <w:color w:val="000000"/>
          <w:sz w:val="24"/>
          <w:szCs w:val="24"/>
        </w:rPr>
        <w:t xml:space="preserve"> в том числе на основании:</w:t>
      </w:r>
    </w:p>
    <w:p>
      <w:pPr>
        <w:pStyle w:val="Normal"/>
        <w:spacing w:lineRule="auto" w:line="240" w:before="0" w:after="0"/>
        <w:ind w:hanging="0" w:right="0"/>
        <w:jc w:val="both"/>
        <w:rPr>
          <w:color w:val="000000"/>
        </w:rPr>
      </w:pPr>
      <w:r>
        <w:rPr>
          <w:rFonts w:cs="Times New Roman" w:ascii="Tempora LGC Uni" w:hAnsi="Tempora LGC Uni"/>
          <w:color w:val="000000"/>
          <w:sz w:val="24"/>
          <w:szCs w:val="24"/>
        </w:rPr>
        <w:tab/>
        <w:t xml:space="preserve">- уведомление ОБЛКОМЭКОНОМРАЗВИТИЯ №28090 от 28.06.2024 прочие межбюджетные трансферты, передаваемые бюджетам муниципальных районов </w:t>
      </w:r>
      <w:r>
        <w:rPr>
          <w:rFonts w:cs="Times New Roman" w:ascii="Tempora LGC Uni" w:hAnsi="Tempora LGC Uni"/>
          <w:b/>
          <w:color w:val="000000"/>
          <w:sz w:val="24"/>
          <w:szCs w:val="24"/>
        </w:rPr>
        <w:t>510,90 тыс. руб.</w:t>
      </w:r>
      <w:r>
        <w:rPr>
          <w:rFonts w:cs="Times New Roman" w:ascii="Tempora LGC Uni" w:hAnsi="Tempora LGC Uni"/>
          <w:color w:val="000000"/>
          <w:sz w:val="24"/>
          <w:szCs w:val="24"/>
        </w:rPr>
        <w:t>;</w:t>
      </w:r>
    </w:p>
    <w:p>
      <w:pPr>
        <w:pStyle w:val="Normal"/>
        <w:spacing w:lineRule="auto" w:line="240" w:before="0" w:after="0"/>
        <w:ind w:hanging="0" w:right="0"/>
        <w:jc w:val="both"/>
        <w:rPr>
          <w:color w:val="000000"/>
        </w:rPr>
      </w:pPr>
      <w:r>
        <w:rPr>
          <w:rFonts w:cs="Times New Roman" w:ascii="Tempora LGC Uni" w:hAnsi="Tempora LGC Uni"/>
          <w:color w:val="000000"/>
          <w:sz w:val="24"/>
          <w:szCs w:val="24"/>
        </w:rPr>
        <w:t xml:space="preserve">- соглашение о предоставлении иного межбюджетного трансферта, имеющего целевое назначение, из областного бюджета бюджетам муниципальных районов и городских округов Волгоградской области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муниципальных общеобразовательных организаций Волгоградской области №18630000-1-2024-004   </w:t>
      </w:r>
      <w:r>
        <w:rPr>
          <w:rFonts w:cs="Times New Roman" w:ascii="Tempora LGC Uni" w:hAnsi="Tempora LGC Uni"/>
          <w:b/>
          <w:color w:val="000000"/>
          <w:sz w:val="24"/>
          <w:szCs w:val="24"/>
        </w:rPr>
        <w:t>364,56 тыс. руб</w:t>
      </w:r>
      <w:r>
        <w:rPr>
          <w:rFonts w:cs="Times New Roman" w:ascii="Tempora LGC Uni" w:hAnsi="Tempora LGC Uni"/>
          <w:color w:val="000000"/>
          <w:sz w:val="24"/>
          <w:szCs w:val="24"/>
        </w:rPr>
        <w:t>.;</w:t>
      </w:r>
    </w:p>
    <w:p>
      <w:pPr>
        <w:pStyle w:val="Normal"/>
        <w:spacing w:lineRule="auto" w:line="240" w:before="0" w:after="0"/>
        <w:ind w:hanging="0" w:right="0"/>
        <w:jc w:val="both"/>
        <w:rPr>
          <w:color w:val="000000"/>
        </w:rPr>
      </w:pPr>
      <w:r>
        <w:rPr>
          <w:rFonts w:cs="Times New Roman" w:ascii="Tempora LGC Uni" w:hAnsi="Tempora LGC Uni"/>
          <w:color w:val="000000"/>
          <w:sz w:val="24"/>
          <w:szCs w:val="24"/>
        </w:rPr>
        <w:tab/>
        <w:t xml:space="preserve">- уведомление комитета образования, науки и молодежной политики Волгоградской области от 13.06.2024 №23366 ежемесячное денежное вознаграждение за классное руководство педагогическим работникам государственных и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  </w:t>
      </w:r>
      <w:r>
        <w:rPr>
          <w:rFonts w:cs="Times New Roman" w:ascii="Tempora LGC Uni" w:hAnsi="Tempora LGC Uni"/>
          <w:b/>
          <w:color w:val="000000"/>
          <w:sz w:val="24"/>
          <w:szCs w:val="24"/>
        </w:rPr>
        <w:t>3275,44 тыс. руб.</w:t>
      </w:r>
      <w:r>
        <w:rPr>
          <w:rFonts w:cs="Times New Roman" w:ascii="Tempora LGC Uni" w:hAnsi="Tempora LGC Uni"/>
          <w:color w:val="000000"/>
          <w:sz w:val="24"/>
          <w:szCs w:val="24"/>
        </w:rPr>
        <w:t>;</w:t>
      </w:r>
    </w:p>
    <w:p>
      <w:pPr>
        <w:pStyle w:val="Normal"/>
        <w:spacing w:lineRule="auto" w:line="240" w:before="0" w:after="0"/>
        <w:ind w:hanging="0" w:right="0"/>
        <w:jc w:val="both"/>
        <w:rPr>
          <w:color w:val="000000"/>
        </w:rPr>
      </w:pPr>
      <w:r>
        <w:rPr>
          <w:rFonts w:ascii="Tempora LGC Uni" w:hAnsi="Tempora LGC Uni"/>
          <w:color w:val="000000"/>
          <w:sz w:val="24"/>
          <w:szCs w:val="24"/>
        </w:rPr>
        <w:tab/>
        <w:t xml:space="preserve">- поручение о перечислении на счет №550965 от 05.08.2024 из резервного фонда губернатора на оказание материальной помощи  </w:t>
      </w:r>
      <w:r>
        <w:rPr>
          <w:rFonts w:ascii="Tempora LGC Uni" w:hAnsi="Tempora LGC Uni"/>
          <w:b/>
          <w:color w:val="000000"/>
          <w:sz w:val="24"/>
          <w:szCs w:val="24"/>
        </w:rPr>
        <w:t>1018,0 тыс. руб.;</w:t>
      </w:r>
    </w:p>
    <w:p>
      <w:pPr>
        <w:pStyle w:val="Normal"/>
        <w:spacing w:lineRule="auto" w:line="240" w:before="0" w:after="0"/>
        <w:ind w:hanging="0" w:right="0"/>
        <w:jc w:val="both"/>
        <w:rPr>
          <w:color w:val="000000"/>
        </w:rPr>
      </w:pPr>
      <w:r>
        <w:rPr>
          <w:rFonts w:ascii="Tempora LGC Uni" w:hAnsi="Tempora LGC Uni"/>
          <w:b/>
          <w:color w:val="000000"/>
          <w:sz w:val="24"/>
          <w:szCs w:val="24"/>
        </w:rPr>
        <w:tab/>
      </w:r>
      <w:r>
        <w:rPr>
          <w:rFonts w:ascii="Tempora LGC Uni" w:hAnsi="Tempora LGC Uni"/>
          <w:color w:val="000000"/>
          <w:sz w:val="24"/>
          <w:szCs w:val="24"/>
        </w:rPr>
        <w:t xml:space="preserve">- поручение о перечислении на счет №425343 от 24.06.2024 из резервного фонда губернатора на оказание материальной помощи  </w:t>
      </w:r>
      <w:r>
        <w:rPr>
          <w:rFonts w:ascii="Tempora LGC Uni" w:hAnsi="Tempora LGC Uni"/>
          <w:b/>
          <w:color w:val="000000"/>
          <w:sz w:val="24"/>
          <w:szCs w:val="24"/>
        </w:rPr>
        <w:t>2036,0 тыс. руб.;</w:t>
      </w:r>
    </w:p>
    <w:p>
      <w:pPr>
        <w:pStyle w:val="Normal"/>
        <w:spacing w:lineRule="auto" w:line="240" w:before="0" w:after="0"/>
        <w:ind w:hanging="0" w:right="0"/>
        <w:jc w:val="both"/>
        <w:rPr>
          <w:color w:val="000000"/>
        </w:rPr>
      </w:pPr>
      <w:r>
        <w:rPr>
          <w:rFonts w:ascii="Tempora LGC Uni" w:hAnsi="Tempora LGC Uni"/>
          <w:b/>
          <w:color w:val="000000"/>
          <w:sz w:val="24"/>
          <w:szCs w:val="24"/>
        </w:rPr>
        <w:tab/>
      </w:r>
      <w:r>
        <w:rPr>
          <w:rFonts w:ascii="Tempora LGC Uni" w:hAnsi="Tempora LGC Uni"/>
          <w:color w:val="000000"/>
          <w:sz w:val="24"/>
          <w:szCs w:val="24"/>
        </w:rPr>
        <w:t xml:space="preserve">- поручение о перечислении на счет №506403 от 19.07.2024 из резервного фонда губернатора на оказание материальной помощи </w:t>
      </w:r>
      <w:r>
        <w:rPr>
          <w:rFonts w:ascii="Tempora LGC Uni" w:hAnsi="Tempora LGC Uni"/>
          <w:b/>
          <w:color w:val="000000"/>
          <w:sz w:val="24"/>
          <w:szCs w:val="24"/>
        </w:rPr>
        <w:t>1018,0 тыс. руб.;</w:t>
      </w:r>
    </w:p>
    <w:p>
      <w:pPr>
        <w:pStyle w:val="Normal"/>
        <w:spacing w:lineRule="auto" w:line="240" w:before="0" w:after="0"/>
        <w:ind w:hanging="0" w:right="0"/>
        <w:jc w:val="both"/>
        <w:rPr>
          <w:color w:val="000000"/>
        </w:rPr>
      </w:pPr>
      <w:r>
        <w:rPr>
          <w:rFonts w:cs="Times New Roman" w:ascii="Tempora LGC Uni" w:hAnsi="Tempora LGC Uni"/>
          <w:b/>
          <w:color w:val="000000"/>
          <w:sz w:val="24"/>
          <w:szCs w:val="24"/>
        </w:rPr>
        <w:tab/>
        <w:t xml:space="preserve">- </w:t>
      </w:r>
      <w:r>
        <w:rPr>
          <w:rFonts w:cs="Times New Roman" w:ascii="Tempora LGC Uni" w:hAnsi="Tempora LGC Uni"/>
          <w:color w:val="000000"/>
          <w:sz w:val="24"/>
          <w:szCs w:val="24"/>
        </w:rPr>
        <w:t>уведомление ОБЛФИН №26356 от 18.06.2024</w:t>
      </w:r>
      <w:r>
        <w:rPr>
          <w:rFonts w:cs="Times New Roman" w:ascii="Tempora LGC Uni" w:hAnsi="Tempora LGC Uni"/>
          <w:b/>
          <w:color w:val="000000"/>
          <w:sz w:val="24"/>
          <w:szCs w:val="24"/>
        </w:rPr>
        <w:t xml:space="preserve"> </w:t>
      </w:r>
      <w:r>
        <w:rPr>
          <w:rFonts w:cs="Times New Roman" w:ascii="Tempora LGC Uni" w:hAnsi="Tempora LGC Uni"/>
          <w:color w:val="000000"/>
          <w:sz w:val="24"/>
          <w:szCs w:val="24"/>
        </w:rPr>
        <w:t xml:space="preserve">из резервного фонда губернатора на оказание материальной помощи </w:t>
      </w:r>
      <w:r>
        <w:rPr>
          <w:rFonts w:cs="Times New Roman" w:ascii="Tempora LGC Uni" w:hAnsi="Tempora LGC Uni"/>
          <w:b/>
          <w:color w:val="000000"/>
          <w:sz w:val="24"/>
          <w:szCs w:val="24"/>
        </w:rPr>
        <w:t>2036,0 тыс. руб.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color w:val="000000"/>
          <w:sz w:val="24"/>
          <w:szCs w:val="24"/>
        </w:rPr>
        <w:tab/>
      </w:r>
      <w:r>
        <w:rPr>
          <w:rFonts w:eastAsia="Times New Roman" w:ascii="Tempora LGC Uni" w:hAnsi="Tempora LGC Uni"/>
          <w:color w:val="000000"/>
          <w:sz w:val="24"/>
          <w:szCs w:val="24"/>
        </w:rPr>
        <w:t xml:space="preserve">Доходная часть </w:t>
      </w:r>
      <w:r>
        <w:rPr>
          <w:rFonts w:ascii="Tempora LGC Uni" w:hAnsi="Tempora LGC Uni"/>
          <w:color w:val="000000"/>
          <w:sz w:val="24"/>
          <w:szCs w:val="24"/>
        </w:rPr>
        <w:t xml:space="preserve">бюджета </w:t>
      </w:r>
      <w:r>
        <w:rPr>
          <w:rFonts w:eastAsia="Times New Roman" w:ascii="Tempora LGC Uni" w:hAnsi="Tempora LGC Uni"/>
          <w:color w:val="000000"/>
          <w:sz w:val="24"/>
          <w:szCs w:val="24"/>
        </w:rPr>
        <w:t>района на 2025 год увеличена на сумму                                     10443,80 тыс. руб</w:t>
      </w:r>
      <w:r>
        <w:rPr>
          <w:rFonts w:ascii="Tempora LGC Uni" w:hAnsi="Tempora LGC Uni"/>
          <w:color w:val="000000"/>
          <w:sz w:val="24"/>
          <w:szCs w:val="24"/>
        </w:rPr>
        <w:t>.</w:t>
      </w:r>
      <w:r>
        <w:rPr>
          <w:rFonts w:eastAsia="Times New Roman" w:ascii="Tempora LGC Uni" w:hAnsi="Tempora LGC Uni"/>
          <w:color w:val="000000"/>
          <w:sz w:val="24"/>
          <w:szCs w:val="24"/>
        </w:rPr>
        <w:t xml:space="preserve"> и состави</w:t>
      </w:r>
      <w:r>
        <w:rPr>
          <w:rFonts w:ascii="Tempora LGC Uni" w:hAnsi="Tempora LGC Uni"/>
          <w:color w:val="000000"/>
          <w:sz w:val="24"/>
          <w:szCs w:val="24"/>
        </w:rPr>
        <w:t>т</w:t>
      </w:r>
      <w:r>
        <w:rPr>
          <w:rFonts w:eastAsia="Times New Roman" w:ascii="Tempora LGC Uni" w:hAnsi="Tempora LGC Uni"/>
          <w:color w:val="000000"/>
          <w:sz w:val="24"/>
          <w:szCs w:val="24"/>
        </w:rPr>
        <w:t xml:space="preserve"> 675741,14 тыс. руб</w:t>
      </w:r>
      <w:r>
        <w:rPr>
          <w:rFonts w:ascii="Tempora LGC Uni" w:hAnsi="Tempora LGC Uni"/>
          <w:color w:val="000000"/>
          <w:sz w:val="24"/>
          <w:szCs w:val="24"/>
        </w:rPr>
        <w:t>.</w:t>
      </w:r>
      <w:r>
        <w:rPr>
          <w:rFonts w:eastAsia="Times New Roman" w:ascii="Tempora LGC Uni" w:hAnsi="Tempora LGC Uni"/>
          <w:color w:val="000000"/>
          <w:sz w:val="24"/>
          <w:szCs w:val="24"/>
        </w:rPr>
        <w:t>, на 2026 год увеличена на сумму 48375,27 тыс. руб</w:t>
      </w:r>
      <w:r>
        <w:rPr>
          <w:rFonts w:ascii="Tempora LGC Uni" w:hAnsi="Tempora LGC Uni"/>
          <w:color w:val="000000"/>
          <w:sz w:val="24"/>
          <w:szCs w:val="24"/>
        </w:rPr>
        <w:t>.</w:t>
      </w:r>
      <w:r>
        <w:rPr>
          <w:rFonts w:eastAsia="Times New Roman" w:ascii="Tempora LGC Uni" w:hAnsi="Tempora LGC Uni"/>
          <w:color w:val="000000"/>
          <w:sz w:val="24"/>
          <w:szCs w:val="24"/>
        </w:rPr>
        <w:t xml:space="preserve"> и состави</w:t>
      </w:r>
      <w:r>
        <w:rPr>
          <w:rFonts w:ascii="Tempora LGC Uni" w:hAnsi="Tempora LGC Uni"/>
          <w:color w:val="000000"/>
          <w:sz w:val="24"/>
          <w:szCs w:val="24"/>
        </w:rPr>
        <w:t>т</w:t>
      </w:r>
      <w:r>
        <w:rPr>
          <w:rFonts w:eastAsia="Times New Roman" w:ascii="Tempora LGC Uni" w:hAnsi="Tempora LGC Uni"/>
          <w:color w:val="000000"/>
          <w:sz w:val="24"/>
          <w:szCs w:val="24"/>
        </w:rPr>
        <w:t xml:space="preserve"> 712765,23 тыс. руб</w:t>
      </w:r>
      <w:r>
        <w:rPr>
          <w:rFonts w:ascii="Tempora LGC Uni" w:hAnsi="Tempora LGC Uni"/>
          <w:color w:val="000000"/>
          <w:sz w:val="24"/>
          <w:szCs w:val="24"/>
        </w:rPr>
        <w:t>.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color w:val="000000"/>
          <w:sz w:val="24"/>
          <w:szCs w:val="24"/>
        </w:rPr>
        <w:tab/>
      </w:r>
      <w:r>
        <w:rPr>
          <w:rStyle w:val="CharAttribute2"/>
          <w:rFonts w:eastAsia="Calibri" w:cs="Times New Roman"/>
          <w:color w:val="000000"/>
          <w:szCs w:val="24"/>
        </w:rPr>
        <w:t xml:space="preserve">Изменение показателей доходной части бюджета Ленинского муниципального района на 2024 год и на плановый период 2025-2026 года осуществлено с учетом требований бюджетного законодательства РФ, </w:t>
      </w:r>
      <w:hyperlink r:id="rId3">
        <w:r>
          <w:rPr>
            <w:rFonts w:cs="Times New Roman" w:ascii="Times New Roman" w:hAnsi="Times New Roman"/>
            <w:color w:val="000000"/>
            <w:sz w:val="24"/>
            <w:szCs w:val="24"/>
          </w:rPr>
          <w:t>законодательства</w:t>
        </w:r>
      </w:hyperlink>
      <w:r>
        <w:rPr>
          <w:rFonts w:cs="Times New Roman" w:ascii="Times New Roman" w:hAnsi="Times New Roman"/>
          <w:color w:val="000000"/>
          <w:sz w:val="24"/>
          <w:szCs w:val="24"/>
        </w:rPr>
        <w:t xml:space="preserve"> о налогах, сборах, иных обязательных платежах, и </w:t>
      </w:r>
      <w:r>
        <w:rPr>
          <w:rStyle w:val="CharAttribute2"/>
          <w:rFonts w:eastAsia="Calibri" w:cs="Times New Roman"/>
          <w:color w:val="000000"/>
          <w:szCs w:val="24"/>
        </w:rPr>
        <w:t xml:space="preserve">обусловлено </w:t>
      </w:r>
      <w:r>
        <w:rPr>
          <w:rFonts w:cs="Times New Roman" w:ascii="Times New Roman" w:hAnsi="Times New Roman"/>
          <w:color w:val="000000"/>
          <w:sz w:val="24"/>
          <w:szCs w:val="24"/>
        </w:rPr>
        <w:t>причинами, изложенными в пояснительной записке Финансового отдела администрации Ленинского муниципального района к проекту решения о бюджете.</w:t>
      </w:r>
    </w:p>
    <w:p>
      <w:pPr>
        <w:pStyle w:val="Normal"/>
        <w:spacing w:lineRule="auto" w:line="240" w:before="0" w:after="0"/>
        <w:ind w:firstLine="53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jc w:val="center"/>
        <w:rPr>
          <w:color w:val="000000"/>
        </w:rPr>
      </w:pPr>
      <w:r>
        <w:rPr>
          <w:rFonts w:cs="Times New Roman" w:ascii="Times New Roman" w:hAnsi="Times New Roman"/>
          <w:b/>
          <w:i/>
          <w:color w:val="000000"/>
          <w:sz w:val="24"/>
          <w:szCs w:val="24"/>
          <w:lang w:eastAsia="en-US"/>
        </w:rPr>
        <w:t>Анализ изменения показателей расходной части бюджета</w:t>
      </w:r>
    </w:p>
    <w:p>
      <w:pPr>
        <w:pStyle w:val="Normal"/>
        <w:spacing w:lineRule="auto" w:line="240" w:before="0" w:after="0"/>
        <w:ind w:left="1070"/>
        <w:rPr>
          <w:rFonts w:ascii="Times New Roman" w:hAnsi="Times New Roman" w:cs="Times New Roman"/>
          <w:b/>
          <w:i/>
          <w:i/>
          <w:color w:val="000000"/>
          <w:sz w:val="24"/>
          <w:szCs w:val="24"/>
          <w:lang w:eastAsia="en-US"/>
        </w:rPr>
      </w:pPr>
      <w:r>
        <w:rPr>
          <w:rFonts w:cs="Times New Roman" w:ascii="Times New Roman" w:hAnsi="Times New Roman"/>
          <w:b/>
          <w:i/>
          <w:color w:val="000000"/>
          <w:sz w:val="24"/>
          <w:szCs w:val="24"/>
          <w:lang w:eastAsia="en-US"/>
        </w:rPr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В связи с внесением поправок в доходную часть бюджета, в части собственных доходов и безвозмездных поступлений, вносятся изменения  и в  расходную часть бюджета муниципального района.</w:t>
      </w:r>
    </w:p>
    <w:p>
      <w:pPr>
        <w:pStyle w:val="BlockText"/>
        <w:pBdr>
          <w:top w:val="nil"/>
          <w:left w:val="nil"/>
          <w:bottom w:val="nil"/>
          <w:right w:val="nil"/>
        </w:pBdr>
        <w:ind w:firstLine="708" w:left="0" w:right="-6"/>
        <w:rPr/>
      </w:pPr>
      <w:r>
        <w:rPr>
          <w:rStyle w:val="CharAttribute2"/>
          <w:rFonts w:eastAsia="Calibri"/>
          <w:b w:val="false"/>
          <w:i w:val="false"/>
          <w:color w:val="000000"/>
        </w:rPr>
        <w:t xml:space="preserve">Проектом решения о бюджете на 2024 год предусматривается увеличение объема расходов на сумму 25349,72 тыс. руб. или на 3,0 % относительно утверждённого объёма бюджетных ассигнований и общий объем расходов составит </w:t>
      </w:r>
      <w:r>
        <w:rPr>
          <w:rFonts w:eastAsia="Times New Roman"/>
          <w:b w:val="false"/>
          <w:i w:val="false"/>
          <w:color w:val="000000"/>
          <w:sz w:val="24"/>
        </w:rPr>
        <w:t>868525,22</w:t>
      </w:r>
      <w:r>
        <w:rPr>
          <w:rStyle w:val="CharAttribute2"/>
          <w:rFonts w:eastAsia="Calibri"/>
          <w:b w:val="false"/>
          <w:i w:val="false"/>
          <w:color w:val="000000"/>
        </w:rPr>
        <w:t xml:space="preserve"> тыс. руб.</w:t>
      </w:r>
    </w:p>
    <w:p>
      <w:pPr>
        <w:pStyle w:val="BlockText"/>
        <w:pBdr>
          <w:top w:val="nil"/>
          <w:left w:val="nil"/>
          <w:bottom w:val="nil"/>
          <w:right w:val="nil"/>
        </w:pBdr>
        <w:ind w:firstLine="708" w:left="0" w:right="-6"/>
        <w:rPr/>
      </w:pPr>
      <w:r>
        <w:rPr>
          <w:rStyle w:val="CharAttribute2"/>
          <w:rFonts w:eastAsia="Calibri"/>
          <w:b w:val="false"/>
          <w:i w:val="false"/>
          <w:color w:val="000000"/>
        </w:rPr>
        <w:t>На 2025 год расходы в целом увеличены на 10443,80 тыс. руб. и составили  675741,14 тыс. руб., на 2026 год увеличены на 48375,27  тыс. руб. и составили 712765,23 тыс. руб.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i/>
          <w:i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i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rFonts w:cs="Times New Roman" w:ascii="Times New Roman" w:hAnsi="Times New Roman"/>
          <w:b/>
          <w:i/>
          <w:color w:val="000000"/>
          <w:sz w:val="24"/>
          <w:szCs w:val="24"/>
        </w:rPr>
        <w:t xml:space="preserve">3. </w:t>
      </w:r>
      <w:r>
        <w:rPr>
          <w:rFonts w:cs="Times New Roman" w:ascii="Times New Roman" w:hAnsi="Times New Roman"/>
          <w:b/>
          <w:i/>
          <w:color w:val="000000"/>
          <w:sz w:val="24"/>
          <w:szCs w:val="24"/>
          <w:lang w:eastAsia="en-US"/>
        </w:rPr>
        <w:t>Анализ изменения показателей дефицита (профицита) бюджета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i/>
          <w:i/>
          <w:color w:val="000000"/>
          <w:sz w:val="24"/>
          <w:szCs w:val="24"/>
          <w:lang w:eastAsia="en-US"/>
        </w:rPr>
      </w:pPr>
      <w:r>
        <w:rPr>
          <w:rFonts w:cs="Times New Roman" w:ascii="Times New Roman" w:hAnsi="Times New Roman"/>
          <w:b/>
          <w:i/>
          <w:color w:val="000000"/>
          <w:sz w:val="24"/>
          <w:szCs w:val="24"/>
          <w:lang w:eastAsia="en-US"/>
        </w:rPr>
      </w:r>
    </w:p>
    <w:p>
      <w:pPr>
        <w:pStyle w:val="Normal"/>
        <w:numPr>
          <w:ilvl w:val="0"/>
          <w:numId w:val="0"/>
        </w:numPr>
        <w:spacing w:lineRule="auto" w:line="240" w:before="0" w:after="0"/>
        <w:ind w:firstLine="709" w:left="0"/>
        <w:jc w:val="both"/>
        <w:outlineLvl w:val="1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Решением о бюджете в действующей редакции (от 27.06.2024г. №6/29) на 2024 год утвержден дефицит бюджета в размере 13508,76тыс. руб.</w:t>
      </w:r>
    </w:p>
    <w:p>
      <w:pPr>
        <w:pStyle w:val="Normal"/>
        <w:spacing w:lineRule="auto" w:line="240" w:before="0" w:after="0"/>
        <w:ind w:firstLine="720"/>
        <w:jc w:val="both"/>
        <w:rPr>
          <w:color w:val="000000"/>
        </w:rPr>
      </w:pPr>
      <w:r>
        <w:rPr>
          <w:rFonts w:cs="Times New Roman" w:ascii="Times New Roman" w:hAnsi="Times New Roman"/>
          <w:bCs/>
          <w:iCs/>
          <w:color w:val="000000"/>
          <w:sz w:val="24"/>
          <w:szCs w:val="24"/>
        </w:rPr>
        <w:t>Проектом решения о бюджете предусмотрен дефицит бюджета Ленин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ского муниципального района на 2024 год в размере  14573,02 тыс. руб. или 10,67 % к объему доходов бюджета Ленинского муниципального района,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без учета безвозмездных поступлений и  поступлений налоговых доходов по дополнительным нормативам отчислений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, что не противоречит п.3 ст.92.1. БК РФ. </w:t>
      </w:r>
    </w:p>
    <w:p>
      <w:pPr>
        <w:pStyle w:val="Normal"/>
        <w:spacing w:lineRule="auto" w:line="240" w:before="0" w:after="0"/>
        <w:ind w:firstLine="72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Согласно приложения 10, источниками внутреннего финансирования дефицита бюджета являются:  изменение остатков средств на счетах по учёту средств районного бюджета в течение соответствующего финансового года в сумме 14573,02 тыс. руб. и соответствуют составу источников внутреннего финансирования дефицита местного бюджета, установленному ст. 96 БК РФ.</w:t>
      </w:r>
    </w:p>
    <w:p>
      <w:pPr>
        <w:pStyle w:val="ConsPlusNormal"/>
        <w:ind w:firstLine="708"/>
        <w:jc w:val="both"/>
        <w:rPr>
          <w:color w:val="000000"/>
        </w:rPr>
      </w:pPr>
      <w:r>
        <w:rPr>
          <w:bCs/>
          <w:iCs/>
          <w:vanish/>
          <w:color w:val="000000"/>
          <w:sz w:val="24"/>
          <w:szCs w:val="24"/>
        </w:rPr>
        <w:t>тыс. рублей тыс. рублей</w:t>
      </w:r>
      <w:r>
        <w:rPr>
          <w:bCs/>
          <w:iCs/>
          <w:color w:val="000000"/>
          <w:sz w:val="24"/>
          <w:szCs w:val="24"/>
        </w:rPr>
        <w:t>Согласно ведомости по движению свободного остатка средств бюджета (ф. 0531819) остаток средств на счетах органа, осуществляющего кассовое обслуживание, составил: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color w:val="000000"/>
        </w:rPr>
      </w:pPr>
      <w:r>
        <w:rPr>
          <w:rFonts w:cs="Times New Roman" w:ascii="Times New Roman" w:hAnsi="Times New Roman"/>
          <w:bCs/>
          <w:iCs/>
          <w:color w:val="000000"/>
          <w:sz w:val="24"/>
          <w:szCs w:val="24"/>
        </w:rPr>
        <w:t>- по состоянию на 01.01.2024г. в сумме 29248,03 тыс. руб.;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color w:val="000000"/>
        </w:rPr>
      </w:pPr>
      <w:r>
        <w:rPr>
          <w:rFonts w:cs="Times New Roman" w:ascii="Times New Roman" w:hAnsi="Times New Roman"/>
          <w:bCs/>
          <w:iCs/>
          <w:color w:val="000000"/>
          <w:sz w:val="24"/>
          <w:szCs w:val="24"/>
        </w:rPr>
        <w:t>- по состоянию на 01.09.2024г. в сумме 125079,44 тыс. руб.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color w:val="000000"/>
        </w:rPr>
      </w:pPr>
      <w:r>
        <w:rPr>
          <w:rFonts w:cs="Times New Roman" w:ascii="Times New Roman" w:hAnsi="Times New Roman"/>
          <w:bCs/>
          <w:iCs/>
          <w:color w:val="000000"/>
          <w:sz w:val="24"/>
          <w:szCs w:val="24"/>
        </w:rPr>
        <w:t>Прогнозируемый дефицит районного бюджета на 2025 — 2026 годы составляет 0,0 тыс. руб.</w:t>
      </w:r>
    </w:p>
    <w:p>
      <w:pPr>
        <w:pStyle w:val="BodyText"/>
        <w:widowControl w:val="false"/>
        <w:spacing w:lineRule="auto" w:line="240" w:before="0" w:after="0"/>
        <w:ind w:firstLine="709"/>
        <w:jc w:val="center"/>
        <w:rPr>
          <w:rFonts w:ascii="Times New Roman" w:hAnsi="Times New Roman"/>
          <w:b/>
          <w:i/>
          <w:i/>
          <w:color w:val="000000"/>
          <w:sz w:val="24"/>
          <w:szCs w:val="24"/>
        </w:rPr>
      </w:pPr>
      <w:r>
        <w:rPr>
          <w:rFonts w:ascii="Times New Roman" w:hAnsi="Times New Roman"/>
          <w:b/>
          <w:i/>
          <w:color w:val="000000"/>
          <w:sz w:val="24"/>
          <w:szCs w:val="24"/>
        </w:rPr>
      </w:r>
    </w:p>
    <w:p>
      <w:pPr>
        <w:pStyle w:val="BodyText"/>
        <w:widowControl w:val="false"/>
        <w:numPr>
          <w:ilvl w:val="0"/>
          <w:numId w:val="2"/>
        </w:numPr>
        <w:spacing w:lineRule="auto" w:line="240" w:before="0" w:after="0"/>
        <w:jc w:val="center"/>
        <w:rPr>
          <w:color w:val="000000"/>
        </w:rPr>
      </w:pPr>
      <w:r>
        <w:rPr>
          <w:rFonts w:ascii="Times New Roman" w:hAnsi="Times New Roman"/>
          <w:b/>
          <w:i/>
          <w:color w:val="000000"/>
          <w:sz w:val="24"/>
          <w:szCs w:val="24"/>
        </w:rPr>
        <w:t>Анализ изменения бюджетных ассигнований на реализацию муниципальных программ</w:t>
      </w:r>
    </w:p>
    <w:p>
      <w:pPr>
        <w:pStyle w:val="BodyText"/>
        <w:widowControl w:val="false"/>
        <w:spacing w:lineRule="auto" w:line="240" w:before="0" w:after="0"/>
        <w:ind w:firstLine="709"/>
        <w:jc w:val="both"/>
        <w:rPr>
          <w:rFonts w:ascii="Times New Roman" w:hAnsi="Times New Roman"/>
          <w:b/>
          <w:i/>
          <w:i/>
          <w:color w:val="000000"/>
          <w:sz w:val="24"/>
          <w:szCs w:val="24"/>
        </w:rPr>
      </w:pPr>
      <w:r>
        <w:rPr>
          <w:rFonts w:ascii="Times New Roman" w:hAnsi="Times New Roman"/>
          <w:b/>
          <w:i/>
          <w:color w:val="000000"/>
          <w:sz w:val="24"/>
          <w:szCs w:val="24"/>
        </w:rPr>
      </w:r>
    </w:p>
    <w:p>
      <w:pPr>
        <w:pStyle w:val="BodyText"/>
        <w:widowControl w:val="false"/>
        <w:spacing w:lineRule="auto" w:line="240" w:before="0" w:after="0"/>
        <w:ind w:firstLine="709"/>
        <w:jc w:val="both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Решением о бюджете в действующей редакции (приложение 7) предусмотрено распределение бюджетных ассигнований на реализацию муниципальных программ на 2024 год в сумме 605985,24 тыс. руб., на 2025 год в сумме 432542,73 тыс. руб., на 2026 год  в сумме 443258,34 тыс. руб.</w:t>
      </w:r>
    </w:p>
    <w:p>
      <w:pPr>
        <w:pStyle w:val="BodyText"/>
        <w:widowControl w:val="false"/>
        <w:spacing w:lineRule="auto" w:line="240" w:before="0" w:after="0"/>
        <w:ind w:firstLine="709"/>
        <w:jc w:val="both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</w:rPr>
        <w:t>Проектом решения о бюджете предусматривается увеличение объема бюджетных ассигнований, направляемых на реализацию муниципальных   программ в 2024 году на 27648,04 тыс. руб. и составит 633633,27 тыс. руб., в том числе:</w:t>
      </w:r>
    </w:p>
    <w:p>
      <w:pPr>
        <w:pStyle w:val="BodyText"/>
        <w:widowControl w:val="false"/>
        <w:spacing w:lineRule="auto" w:line="240" w:before="0" w:after="0"/>
        <w:ind w:firstLine="709"/>
        <w:jc w:val="both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</w:rPr>
        <w:t>- на муниципальную программу «Комплекс мер по созданию безопасных условий для обучающихся и воспитанников в образовательных организациях Ленинского муниципального района» увеличение на 99,93 тыс. руб. и составит 7000,41 тыс. руб.;</w:t>
      </w:r>
    </w:p>
    <w:p>
      <w:pPr>
        <w:pStyle w:val="BodyText"/>
        <w:widowControl w:val="false"/>
        <w:spacing w:lineRule="auto" w:line="240" w:before="0" w:after="0"/>
        <w:ind w:firstLine="709"/>
        <w:jc w:val="both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</w:rPr>
        <w:t>- на муниципальную программу «Повышение безопасности дорожного движения в  Ленинском муниципальном районе» увеличение на 11474,07 тыс. руб. и составит 130464,85 тыс. руб.;</w:t>
      </w:r>
    </w:p>
    <w:p>
      <w:pPr>
        <w:pStyle w:val="BodyText"/>
        <w:widowControl w:val="false"/>
        <w:spacing w:lineRule="auto" w:line="240" w:before="0" w:after="0"/>
        <w:ind w:firstLine="709"/>
        <w:jc w:val="both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</w:rPr>
        <w:t>- на муниципальную программу «Развитие системы образования в Ленинском муниципальном районе» увеличение на 16119,05 тыс. руб. и составит 431465,95 тыс. руб.;</w:t>
      </w:r>
    </w:p>
    <w:p>
      <w:pPr>
        <w:pStyle w:val="BodyText"/>
        <w:widowControl w:val="false"/>
        <w:spacing w:lineRule="auto" w:line="240" w:before="0" w:after="0"/>
        <w:ind w:firstLine="709"/>
        <w:jc w:val="both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</w:rPr>
        <w:t>- на муниципальную программу «Развитие территориального общественного самоуправления Ленинского муниципального района» уменьшение на 45,0 тыс. руб. и составит 0,0 тыс. руб.</w:t>
      </w:r>
    </w:p>
    <w:p>
      <w:pPr>
        <w:pStyle w:val="BlockText"/>
        <w:pBdr>
          <w:top w:val="nil"/>
          <w:left w:val="nil"/>
          <w:bottom w:val="nil"/>
          <w:right w:val="nil"/>
        </w:pBdr>
        <w:ind w:firstLine="708" w:left="0" w:right="-6"/>
        <w:rPr/>
      </w:pPr>
      <w:r>
        <w:rPr>
          <w:rStyle w:val="CharAttribute2"/>
          <w:rFonts w:eastAsia="Calibri"/>
          <w:b w:val="false"/>
          <w:i w:val="false"/>
          <w:color w:val="000000"/>
        </w:rPr>
        <w:t xml:space="preserve">На 2025 - 2026 годы </w:t>
      </w:r>
      <w:r>
        <w:rPr>
          <w:b w:val="false"/>
          <w:i w:val="false"/>
          <w:color w:val="000000"/>
          <w:sz w:val="24"/>
        </w:rPr>
        <w:t>бюджетные ассигнования, направляемые на реализацию муниципальных программ</w:t>
      </w:r>
      <w:r>
        <w:rPr>
          <w:rStyle w:val="CharAttribute2"/>
          <w:rFonts w:eastAsia="Calibri"/>
          <w:b w:val="false"/>
          <w:i w:val="false"/>
          <w:color w:val="000000"/>
        </w:rPr>
        <w:t xml:space="preserve"> не изменены.</w:t>
      </w:r>
    </w:p>
    <w:p>
      <w:pPr>
        <w:pStyle w:val="BlockText"/>
        <w:pBdr>
          <w:top w:val="nil"/>
          <w:left w:val="nil"/>
          <w:bottom w:val="nil"/>
          <w:right w:val="nil"/>
        </w:pBdr>
        <w:ind w:firstLine="708" w:left="0" w:right="-6"/>
        <w:rPr>
          <w:rFonts w:eastAsia="Calibri"/>
          <w:b w:val="false"/>
          <w:i w:val="false"/>
          <w:i w:val="false"/>
          <w:color w:val="000000"/>
        </w:rPr>
      </w:pPr>
      <w:r>
        <w:rPr>
          <w:rFonts w:eastAsia="Calibri"/>
          <w:b w:val="false"/>
          <w:i w:val="false"/>
          <w:color w:val="000000"/>
        </w:rPr>
      </w:r>
    </w:p>
    <w:p>
      <w:pPr>
        <w:pStyle w:val="BodyText"/>
        <w:widowControl w:val="false"/>
        <w:numPr>
          <w:ilvl w:val="0"/>
          <w:numId w:val="2"/>
        </w:numPr>
        <w:spacing w:lineRule="auto" w:line="240" w:before="0" w:after="0"/>
        <w:jc w:val="center"/>
        <w:rPr>
          <w:color w:val="000000"/>
        </w:rPr>
      </w:pPr>
      <w:r>
        <w:rPr>
          <w:rFonts w:ascii="Tempora LGC Uni" w:hAnsi="Tempora LGC Uni"/>
          <w:b/>
          <w:i/>
          <w:color w:val="000000"/>
          <w:sz w:val="24"/>
          <w:szCs w:val="24"/>
        </w:rPr>
        <w:t>Анализ изменения бюджетных ассигнований на реализацию межбюджетных трансфертов.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ind w:firstLine="72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Решением о бюджете в действующей редакции </w:t>
      </w:r>
      <w:r>
        <w:rPr>
          <w:rFonts w:cs="Times New Roman" w:ascii="Times New Roman" w:hAnsi="Times New Roman"/>
          <w:b/>
          <w:color w:val="000000"/>
          <w:sz w:val="24"/>
          <w:szCs w:val="24"/>
        </w:rPr>
        <w:t>в расходной части бюджета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межбюджетные трансферты общего характера бюджетам бюджетной системы РФ  на 2024 год предусмотрены в объеме 52452,31 тыс. руб.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Проектом решения о бюджете предусмотрено уменьшение объема межбюджетных трансфертов  на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12048,27 тыс. руб. и составит 40404,04 тыс. руб.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0" w:leader="none"/>
        </w:tabs>
        <w:spacing w:lineRule="auto" w:line="240" w:before="0" w:after="0"/>
        <w:ind w:hanging="0" w:left="0"/>
        <w:jc w:val="both"/>
        <w:outlineLvl w:val="3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ab/>
        <w:t>Следует отметить, что согласно нормам ст. 142.4. БК РФ, предоставление межбюджетных трансфертов должно осуществляться в</w:t>
      </w:r>
      <w:r>
        <w:rPr>
          <w:rFonts w:eastAsia="Calibri" w:cs="Times New Roman" w:ascii="Times New Roman" w:hAnsi="Times New Roman"/>
          <w:color w:val="000000"/>
          <w:sz w:val="24"/>
          <w:szCs w:val="24"/>
        </w:rPr>
        <w:t xml:space="preserve"> случаях и порядке, предусмотренных муниципальными правовыми актами представительного органа муниципального района, принимаемыми в соответствии с требованиями БК РФ и соответствующими им законами субъекта РФ. 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В этой связи КСП рекомендует при предоставлении межбюджетных трансфертов из бюджета муниципального района обеспечить строгое соблюдение требований  ст. 142.4. БК РФ. 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firstLine="709" w:left="0"/>
        <w:jc w:val="both"/>
        <w:outlineLvl w:val="1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Кроме того, нарушение порядка и условий предоставления (расходования) межбюджетных трансфертов главным распорядителем бюджетных средств, предоставляющим межбюджетные трансферты, и (или) финансовым органом, главным распорядителем (распорядителем), получателем средств бюджета, которому предоставлены межбюджетные трансферты, является административным правонарушением, за которое согласно ст. 15.15.3. Кодекса РФ об административных правонарушениях, </w:t>
      </w:r>
      <w:r>
        <w:rPr>
          <w:rFonts w:eastAsia="Calibri" w:cs="Times New Roman" w:ascii="Times New Roman" w:hAnsi="Times New Roman"/>
          <w:color w:val="000000"/>
          <w:sz w:val="24"/>
          <w:szCs w:val="24"/>
        </w:rPr>
        <w:t>установлена административная ответственность.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0" w:leader="none"/>
        </w:tabs>
        <w:spacing w:lineRule="auto" w:line="240" w:before="0" w:after="0"/>
        <w:ind w:hanging="0" w:left="0"/>
        <w:jc w:val="center"/>
        <w:outlineLvl w:val="3"/>
        <w:rPr>
          <w:rFonts w:ascii="Times New Roman" w:hAnsi="Times New Roman" w:cs="Times New Roman"/>
          <w:b/>
          <w:i/>
          <w:i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i/>
          <w:color w:val="000000"/>
          <w:sz w:val="24"/>
          <w:szCs w:val="24"/>
        </w:rPr>
      </w:r>
    </w:p>
    <w:p>
      <w:pPr>
        <w:pStyle w:val="BodyText"/>
        <w:widowControl w:val="false"/>
        <w:numPr>
          <w:ilvl w:val="0"/>
          <w:numId w:val="2"/>
        </w:numPr>
        <w:spacing w:lineRule="auto" w:line="240" w:before="0" w:after="0"/>
        <w:jc w:val="center"/>
        <w:rPr>
          <w:color w:val="000000"/>
        </w:rPr>
      </w:pPr>
      <w:r>
        <w:rPr>
          <w:rFonts w:ascii="Tempora LGC Uni" w:hAnsi="Tempora LGC Uni"/>
          <w:b/>
          <w:bCs/>
          <w:color w:val="000000"/>
          <w:sz w:val="24"/>
          <w:szCs w:val="24"/>
        </w:rPr>
        <w:t>Анализ изменения объема бюджетных ассигнований на дорожный фонд Ленинского муниципального района.</w:t>
      </w:r>
    </w:p>
    <w:p>
      <w:pPr>
        <w:pStyle w:val="BodyText"/>
        <w:widowControl w:val="false"/>
        <w:spacing w:lineRule="auto" w:line="240" w:before="0" w:after="0"/>
        <w:jc w:val="center"/>
        <w:rPr>
          <w:rFonts w:ascii="Tempora LGC Uni" w:hAnsi="Tempora LGC Uni"/>
          <w:b/>
          <w:bCs/>
          <w:color w:val="000000"/>
          <w:sz w:val="24"/>
          <w:szCs w:val="24"/>
        </w:rPr>
      </w:pPr>
      <w:r>
        <w:rPr>
          <w:rFonts w:ascii="Tempora LGC Uni" w:hAnsi="Tempora LGC Uni"/>
          <w:b/>
          <w:bCs/>
          <w:color w:val="000000"/>
          <w:sz w:val="24"/>
          <w:szCs w:val="24"/>
        </w:rPr>
      </w:r>
    </w:p>
    <w:p>
      <w:pPr>
        <w:pStyle w:val="BodyText"/>
        <w:widowControl w:val="false"/>
        <w:spacing w:lineRule="auto" w:line="240" w:before="0" w:after="0"/>
        <w:ind w:firstLine="709"/>
        <w:jc w:val="both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Решением о бюджете в действующей редакции (статья 4) предусмотрен объем  бюджетных ассигнований на дорожный фонд на 2024 год в сумме 131487,89 тыс. руб.</w:t>
      </w:r>
    </w:p>
    <w:p>
      <w:pPr>
        <w:pStyle w:val="BodyText"/>
        <w:widowControl w:val="false"/>
        <w:spacing w:lineRule="auto" w:line="240" w:before="0" w:after="0"/>
        <w:ind w:firstLine="709"/>
        <w:jc w:val="both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Проектом решения о бюджете вносятся изменения в статью 4, где объем бюджетных ассигнований на дорожный фонд на 2024 год составляет 143481,08 тыс. руб., т. е. увеличен на 11993,19 тыс. руб.  </w:t>
      </w:r>
    </w:p>
    <w:p>
      <w:pPr>
        <w:pStyle w:val="BlockText"/>
        <w:pBdr>
          <w:top w:val="nil"/>
          <w:left w:val="nil"/>
          <w:bottom w:val="nil"/>
          <w:right w:val="nil"/>
        </w:pBdr>
        <w:ind w:firstLine="708" w:left="0" w:right="-6"/>
        <w:rPr/>
      </w:pPr>
      <w:r>
        <w:rPr>
          <w:rStyle w:val="CharAttribute2"/>
          <w:rFonts w:eastAsia="Calibri"/>
          <w:b w:val="false"/>
          <w:i w:val="false"/>
          <w:color w:val="000000"/>
          <w:szCs w:val="24"/>
        </w:rPr>
        <w:t xml:space="preserve">На 2025 - 2026 годы </w:t>
      </w:r>
      <w:r>
        <w:rPr>
          <w:b w:val="false"/>
          <w:i w:val="false"/>
          <w:color w:val="000000"/>
          <w:sz w:val="24"/>
          <w:szCs w:val="24"/>
        </w:rPr>
        <w:t xml:space="preserve">бюджетные ассигнования, направляемые на дорожный фонд </w:t>
      </w:r>
      <w:r>
        <w:rPr>
          <w:rStyle w:val="CharAttribute2"/>
          <w:rFonts w:eastAsia="Calibri"/>
          <w:b w:val="false"/>
          <w:i w:val="false"/>
          <w:color w:val="000000"/>
          <w:szCs w:val="24"/>
        </w:rPr>
        <w:t xml:space="preserve">не изменены и составляют </w:t>
      </w:r>
      <w:r>
        <w:rPr>
          <w:b w:val="false"/>
          <w:bCs w:val="false"/>
          <w:i w:val="false"/>
          <w:iCs w:val="false"/>
          <w:color w:val="000000"/>
          <w:sz w:val="24"/>
          <w:szCs w:val="24"/>
        </w:rPr>
        <w:t>на 2025 год в сумме 38579,83 тыс. руб., на 2026 год  в сумме 39687,64 тыс. руб.</w:t>
      </w:r>
    </w:p>
    <w:p>
      <w:pPr>
        <w:pStyle w:val="BodyText"/>
        <w:widowControl w:val="false"/>
        <w:spacing w:lineRule="auto" w:line="240" w:before="0" w:after="0"/>
        <w:ind w:firstLine="709"/>
        <w:jc w:val="both"/>
        <w:rPr>
          <w:color w:val="000000"/>
        </w:rPr>
      </w:pPr>
      <w:r>
        <w:rPr>
          <w:color w:val="000000"/>
        </w:rPr>
      </w:r>
    </w:p>
    <w:p>
      <w:pPr>
        <w:pStyle w:val="BodyTextIndent"/>
        <w:spacing w:before="0" w:after="0"/>
        <w:ind w:firstLine="709" w:left="0"/>
        <w:jc w:val="center"/>
        <w:textAlignment w:val="baseline"/>
        <w:rPr>
          <w:color w:val="000000"/>
        </w:rPr>
      </w:pPr>
      <w:r>
        <w:rPr>
          <w:rFonts w:ascii="Times New Roman" w:hAnsi="Times New Roman"/>
          <w:b/>
          <w:i/>
          <w:color w:val="000000"/>
        </w:rPr>
        <w:t>ВЫВОДЫ</w:t>
      </w:r>
    </w:p>
    <w:p>
      <w:pPr>
        <w:pStyle w:val="BodyTextIndent"/>
        <w:spacing w:before="0" w:after="0"/>
        <w:ind w:firstLine="709" w:left="0"/>
        <w:jc w:val="center"/>
        <w:textAlignment w:val="baseline"/>
        <w:rPr>
          <w:rFonts w:ascii="Times New Roman" w:hAnsi="Times New Roman"/>
          <w:b/>
          <w:i/>
          <w:i/>
          <w:color w:val="000000"/>
        </w:rPr>
      </w:pPr>
      <w:r>
        <w:rPr>
          <w:rFonts w:ascii="Times New Roman" w:hAnsi="Times New Roman"/>
          <w:b/>
          <w:i/>
          <w:color w:val="000000"/>
        </w:rPr>
      </w:r>
    </w:p>
    <w:p>
      <w:pPr>
        <w:pStyle w:val="12"/>
        <w:tabs>
          <w:tab w:val="clear" w:pos="708"/>
          <w:tab w:val="left" w:pos="900" w:leader="none"/>
          <w:tab w:val="left" w:pos="1080" w:leader="none"/>
        </w:tabs>
        <w:ind w:firstLine="720" w:left="0"/>
        <w:jc w:val="both"/>
        <w:rPr>
          <w:color w:val="000000"/>
        </w:rPr>
      </w:pPr>
      <w:r>
        <w:rPr>
          <w:rFonts w:ascii="Times New Roman" w:hAnsi="Times New Roman"/>
          <w:b w:val="false"/>
          <w:bCs w:val="false"/>
          <w:color w:val="000000"/>
          <w:sz w:val="24"/>
          <w:szCs w:val="24"/>
        </w:rPr>
        <w:t xml:space="preserve">1. </w:t>
      </w:r>
      <w:r>
        <w:rPr>
          <w:rFonts w:ascii="Times New Roman" w:hAnsi="Times New Roman"/>
          <w:color w:val="000000"/>
          <w:sz w:val="24"/>
          <w:szCs w:val="24"/>
        </w:rPr>
        <w:t xml:space="preserve">Предполагаемые к внесению в решение Ленинской районной Думы Волгоградской области от 19.12.2023г. № 16/58 «О бюджете Ленинского муниципального района на 2024 год и на плановый период 2025 и 2026 годов» изменения и дополнения соответствуют основным полномочиям муниципального образования. </w:t>
      </w:r>
      <w:r>
        <w:rPr>
          <w:rFonts w:ascii="Tempora LGC Uni" w:hAnsi="Tempora LGC Uni"/>
          <w:color w:val="000000"/>
          <w:sz w:val="24"/>
          <w:szCs w:val="24"/>
        </w:rPr>
        <w:t>Проект решения о бюджете содержит основные характеристики бюджета и подготовлен с соблюдением принципа сбалансированности бюджетов, установленного ст. 33 БК РФ.</w:t>
      </w:r>
    </w:p>
    <w:p>
      <w:pPr>
        <w:pStyle w:val="Normal"/>
        <w:spacing w:lineRule="auto" w:line="240" w:before="0" w:after="0"/>
        <w:ind w:firstLine="72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2. Проектом решения о бюджете на 2024 год предусмотрено изменение основных характеристик бюджета: </w:t>
      </w:r>
    </w:p>
    <w:p>
      <w:pPr>
        <w:pStyle w:val="Normal"/>
        <w:spacing w:lineRule="auto" w:line="240" w:before="0" w:after="0"/>
        <w:ind w:firstLine="72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- увеличение общего объёма доходов на 24285,46 тыс. руб.;</w:t>
      </w:r>
    </w:p>
    <w:p>
      <w:pPr>
        <w:pStyle w:val="Normal"/>
        <w:spacing w:lineRule="auto" w:line="240" w:before="0" w:after="0"/>
        <w:ind w:firstLine="72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- увеличение общего объема расходов на 25349,72 тыс. руб.</w:t>
      </w:r>
    </w:p>
    <w:p>
      <w:pPr>
        <w:pStyle w:val="Normal"/>
        <w:spacing w:lineRule="auto" w:line="240" w:before="0" w:after="0"/>
        <w:ind w:firstLine="72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Согласно проекта решения о бюджете прогнозируемые основные характеристики бюджета Ленинского муниципального района на  2024 год составят:</w:t>
      </w:r>
    </w:p>
    <w:p>
      <w:pPr>
        <w:pStyle w:val="Normal"/>
        <w:spacing w:lineRule="auto" w:line="240" w:before="0" w:after="0"/>
        <w:ind w:firstLine="72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-  общий объём доходов бюджета 853952,20 тыс. руб.;</w:t>
      </w:r>
    </w:p>
    <w:p>
      <w:pPr>
        <w:pStyle w:val="Normal"/>
        <w:spacing w:lineRule="auto" w:line="240" w:before="0" w:after="0"/>
        <w:ind w:firstLine="72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- общий объём расходов бюджета  868525,22 тыс. руб.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ab/>
      </w:r>
      <w:r>
        <w:rPr>
          <w:rFonts w:eastAsia="Times New Roman" w:cs="Times New Roman" w:ascii="Tempora LGC Uni" w:hAnsi="Tempora LGC Uni"/>
          <w:color w:val="000000"/>
          <w:sz w:val="24"/>
          <w:szCs w:val="24"/>
        </w:rPr>
        <w:t xml:space="preserve">Доходная часть </w:t>
      </w:r>
      <w:r>
        <w:rPr>
          <w:rFonts w:cs="Times New Roman" w:ascii="Tempora LGC Uni" w:hAnsi="Tempora LGC Uni"/>
          <w:color w:val="000000"/>
          <w:sz w:val="24"/>
          <w:szCs w:val="24"/>
        </w:rPr>
        <w:t xml:space="preserve">бюджета </w:t>
      </w:r>
      <w:r>
        <w:rPr>
          <w:rFonts w:eastAsia="Times New Roman" w:cs="Times New Roman" w:ascii="Tempora LGC Uni" w:hAnsi="Tempora LGC Uni"/>
          <w:color w:val="000000"/>
          <w:sz w:val="24"/>
          <w:szCs w:val="24"/>
        </w:rPr>
        <w:t>района на 2025 год увеличена на сумму                                     10443,80 тыс. руб</w:t>
      </w:r>
      <w:r>
        <w:rPr>
          <w:rFonts w:cs="Times New Roman" w:ascii="Tempora LGC Uni" w:hAnsi="Tempora LGC Uni"/>
          <w:color w:val="000000"/>
          <w:sz w:val="24"/>
          <w:szCs w:val="24"/>
        </w:rPr>
        <w:t>.</w:t>
      </w:r>
      <w:r>
        <w:rPr>
          <w:rFonts w:eastAsia="Times New Roman" w:cs="Times New Roman" w:ascii="Tempora LGC Uni" w:hAnsi="Tempora LGC Uni"/>
          <w:color w:val="000000"/>
          <w:sz w:val="24"/>
          <w:szCs w:val="24"/>
        </w:rPr>
        <w:t xml:space="preserve"> и состави</w:t>
      </w:r>
      <w:r>
        <w:rPr>
          <w:rFonts w:cs="Times New Roman" w:ascii="Tempora LGC Uni" w:hAnsi="Tempora LGC Uni"/>
          <w:color w:val="000000"/>
          <w:sz w:val="24"/>
          <w:szCs w:val="24"/>
        </w:rPr>
        <w:t>т</w:t>
      </w:r>
      <w:r>
        <w:rPr>
          <w:rFonts w:eastAsia="Times New Roman" w:cs="Times New Roman" w:ascii="Tempora LGC Uni" w:hAnsi="Tempora LGC Uni"/>
          <w:color w:val="000000"/>
          <w:sz w:val="24"/>
          <w:szCs w:val="24"/>
        </w:rPr>
        <w:t xml:space="preserve"> 675741,14 тыс. руб</w:t>
      </w:r>
      <w:r>
        <w:rPr>
          <w:rFonts w:cs="Times New Roman" w:ascii="Tempora LGC Uni" w:hAnsi="Tempora LGC Uni"/>
          <w:color w:val="000000"/>
          <w:sz w:val="24"/>
          <w:szCs w:val="24"/>
        </w:rPr>
        <w:t>.</w:t>
      </w:r>
      <w:r>
        <w:rPr>
          <w:rFonts w:eastAsia="Times New Roman" w:cs="Times New Roman" w:ascii="Tempora LGC Uni" w:hAnsi="Tempora LGC Uni"/>
          <w:color w:val="000000"/>
          <w:sz w:val="24"/>
          <w:szCs w:val="24"/>
        </w:rPr>
        <w:t>, на 2026 год увеличена на сумму 48375,27 тыс. руб</w:t>
      </w:r>
      <w:r>
        <w:rPr>
          <w:rFonts w:cs="Times New Roman" w:ascii="Tempora LGC Uni" w:hAnsi="Tempora LGC Uni"/>
          <w:color w:val="000000"/>
          <w:sz w:val="24"/>
          <w:szCs w:val="24"/>
        </w:rPr>
        <w:t>.</w:t>
      </w:r>
      <w:r>
        <w:rPr>
          <w:rFonts w:eastAsia="Times New Roman" w:cs="Times New Roman" w:ascii="Tempora LGC Uni" w:hAnsi="Tempora LGC Uni"/>
          <w:color w:val="000000"/>
          <w:sz w:val="24"/>
          <w:szCs w:val="24"/>
        </w:rPr>
        <w:t xml:space="preserve"> и состави</w:t>
      </w:r>
      <w:r>
        <w:rPr>
          <w:rFonts w:cs="Times New Roman" w:ascii="Tempora LGC Uni" w:hAnsi="Tempora LGC Uni"/>
          <w:color w:val="000000"/>
          <w:sz w:val="24"/>
          <w:szCs w:val="24"/>
        </w:rPr>
        <w:t>т</w:t>
      </w:r>
      <w:r>
        <w:rPr>
          <w:rFonts w:eastAsia="Times New Roman" w:cs="Times New Roman" w:ascii="Tempora LGC Uni" w:hAnsi="Tempora LGC Uni"/>
          <w:color w:val="000000"/>
          <w:sz w:val="24"/>
          <w:szCs w:val="24"/>
        </w:rPr>
        <w:t xml:space="preserve"> 712765,23 тыс. руб</w:t>
      </w:r>
      <w:r>
        <w:rPr>
          <w:rFonts w:cs="Times New Roman" w:ascii="Tempora LGC Uni" w:hAnsi="Tempora LGC Uni"/>
          <w:color w:val="000000"/>
          <w:sz w:val="24"/>
          <w:szCs w:val="24"/>
        </w:rPr>
        <w:t>.</w:t>
      </w:r>
    </w:p>
    <w:p>
      <w:pPr>
        <w:pStyle w:val="BlockText"/>
        <w:pBdr>
          <w:top w:val="nil"/>
          <w:left w:val="nil"/>
          <w:bottom w:val="nil"/>
          <w:right w:val="nil"/>
        </w:pBdr>
        <w:ind w:firstLine="708" w:left="0" w:right="-6"/>
        <w:rPr/>
      </w:pPr>
      <w:r>
        <w:rPr>
          <w:rStyle w:val="CharAttribute2"/>
          <w:rFonts w:eastAsia="Calibri" w:cs="Times New Roman"/>
          <w:b w:val="false"/>
          <w:i w:val="false"/>
          <w:color w:val="000000"/>
          <w:szCs w:val="24"/>
        </w:rPr>
        <w:t>Расходы на 2025 год увеличены на 10443,80 тыс. руб. и составили  675741,14 тыс. руб., на 2026 год увеличены на 48375,27  тыс. руб. и составили 712765,23 тыс. руб.</w:t>
      </w:r>
    </w:p>
    <w:p>
      <w:pPr>
        <w:pStyle w:val="Normal"/>
        <w:spacing w:lineRule="auto" w:line="240" w:before="0" w:after="0"/>
        <w:ind w:firstLine="720"/>
        <w:jc w:val="both"/>
        <w:rPr/>
      </w:pPr>
      <w:r>
        <w:rPr>
          <w:rStyle w:val="CharAttribute2"/>
          <w:rFonts w:eastAsia="Calibri" w:cs="Times New Roman"/>
          <w:color w:val="000000"/>
          <w:szCs w:val="24"/>
        </w:rPr>
        <w:t xml:space="preserve">3. Проектом </w:t>
      </w:r>
      <w:r>
        <w:rPr>
          <w:rFonts w:cs="Times New Roman" w:ascii="Times New Roman" w:hAnsi="Times New Roman"/>
          <w:bCs/>
          <w:iCs/>
          <w:color w:val="000000"/>
          <w:sz w:val="24"/>
          <w:szCs w:val="24"/>
        </w:rPr>
        <w:t>решения о бюджете предусмотрен дефицит бюджета Ленин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ского муниципального района на 2024 год в размере 14573,02 тыс. руб. или 10,67 % к объему доходов бюджета Ленинского муниципального района,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без учета безвозмездных поступлений и  поступлений налоговых доходов по дополнительным нормативам отчислений</w:t>
      </w:r>
      <w:r>
        <w:rPr>
          <w:rFonts w:cs="Times New Roman" w:ascii="Times New Roman" w:hAnsi="Times New Roman"/>
          <w:color w:val="000000"/>
          <w:sz w:val="24"/>
          <w:szCs w:val="24"/>
        </w:rPr>
        <w:t>, что не противоречит п.3 ст.92.1. БК РФ и согласно приложения 10, источниками внутреннего финансирования дефицита бюджета является:  изменение остатков средств на счетах по учёту средств районного бюджета в течение соответствующего финансового года, что соответствуют составу источников внутреннего финансирования дефицита местного бюджета, установленному ст. 96 БК РФ.</w:t>
      </w:r>
    </w:p>
    <w:p>
      <w:pPr>
        <w:pStyle w:val="BodyText"/>
        <w:widowControl w:val="false"/>
        <w:spacing w:lineRule="auto" w:line="240" w:before="0" w:after="0"/>
        <w:ind w:firstLine="709"/>
        <w:jc w:val="both"/>
        <w:rPr/>
      </w:pPr>
      <w:r>
        <w:rPr>
          <w:rFonts w:ascii="Times New Roman" w:hAnsi="Times New Roman"/>
          <w:color w:val="000000"/>
          <w:sz w:val="24"/>
          <w:szCs w:val="24"/>
        </w:rPr>
        <w:t xml:space="preserve">4. Проектом решения о бюджете предусматривается увеличение объема бюджетных ассигнований, направляемых на реализацию муниципальных   программ в 2024 году на 27648,04 тыс. руб. и составит 633633,27 тыс. руб. </w:t>
      </w:r>
      <w:r>
        <w:rPr>
          <w:rStyle w:val="CharAttribute2"/>
          <w:rFonts w:eastAsia="Calibri"/>
          <w:color w:val="000000"/>
        </w:rPr>
        <w:t xml:space="preserve">На 2025- 2026 годы </w:t>
      </w:r>
      <w:r>
        <w:rPr>
          <w:rFonts w:ascii="Times New Roman" w:hAnsi="Times New Roman"/>
          <w:color w:val="000000"/>
          <w:sz w:val="24"/>
        </w:rPr>
        <w:t>бюджетные ассигнования, направляемые на реализацию муниципальных программ</w:t>
      </w:r>
      <w:r>
        <w:rPr>
          <w:rStyle w:val="CharAttribute2"/>
          <w:rFonts w:eastAsia="Calibri"/>
          <w:color w:val="000000"/>
        </w:rPr>
        <w:t xml:space="preserve"> не изменены.</w:t>
      </w:r>
    </w:p>
    <w:p>
      <w:pPr>
        <w:pStyle w:val="BlockText"/>
        <w:pBdr>
          <w:top w:val="nil"/>
          <w:left w:val="nil"/>
          <w:bottom w:val="nil"/>
          <w:right w:val="nil"/>
        </w:pBdr>
        <w:ind w:firstLine="708" w:left="0" w:right="-6"/>
        <w:rPr>
          <w:rFonts w:eastAsia="Calibri"/>
          <w:b w:val="false"/>
          <w:i w:val="false"/>
          <w:i w:val="false"/>
        </w:rPr>
      </w:pPr>
      <w:r>
        <w:rPr>
          <w:rStyle w:val="CharAttribute2"/>
          <w:rFonts w:eastAsia="Calibri"/>
          <w:b w:val="false"/>
          <w:i w:val="false"/>
          <w:color w:val="000000"/>
        </w:rPr>
        <w:t xml:space="preserve">5. </w:t>
      </w:r>
      <w:r>
        <w:rPr>
          <w:rStyle w:val="CharAttribute2"/>
          <w:rFonts w:eastAsia="Calibri"/>
          <w:b w:val="false"/>
          <w:i w:val="false"/>
          <w:color w:val="000000"/>
          <w:sz w:val="24"/>
          <w:szCs w:val="24"/>
        </w:rPr>
        <w:t xml:space="preserve">Проектом решения о бюджете вносятся изменения в статью 4, где объем бюджетных ассигнований на дорожный фонд на 2024 год составляет 143481,08 тыс. руб., т. е. увеличен на 11993,19 тыс. руб.  </w:t>
      </w:r>
    </w:p>
    <w:p>
      <w:pPr>
        <w:pStyle w:val="BlockText"/>
        <w:pBdr>
          <w:top w:val="nil"/>
          <w:left w:val="nil"/>
          <w:bottom w:val="nil"/>
          <w:right w:val="nil"/>
        </w:pBdr>
        <w:ind w:firstLine="708" w:left="0" w:right="-6"/>
        <w:rPr>
          <w:rFonts w:eastAsia="Calibri"/>
          <w:b w:val="false"/>
          <w:i w:val="false"/>
          <w:i w:val="false"/>
          <w:color w:val="000000"/>
        </w:rPr>
      </w:pPr>
      <w:r>
        <w:rPr>
          <w:rFonts w:eastAsia="Calibri"/>
          <w:b w:val="false"/>
          <w:i w:val="false"/>
          <w:color w:val="000000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b/>
          <w:i/>
          <w:i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i/>
          <w:color w:val="000000"/>
          <w:sz w:val="24"/>
          <w:szCs w:val="24"/>
        </w:rPr>
      </w:r>
    </w:p>
    <w:p>
      <w:pPr>
        <w:pStyle w:val="Normal"/>
        <w:spacing w:before="0" w:after="120"/>
        <w:ind w:firstLine="708"/>
        <w:jc w:val="center"/>
        <w:rPr>
          <w:color w:val="000000"/>
        </w:rPr>
      </w:pPr>
      <w:r>
        <w:rPr>
          <w:rFonts w:cs="Times New Roman" w:ascii="Times New Roman" w:hAnsi="Times New Roman"/>
          <w:b/>
          <w:i/>
          <w:color w:val="000000"/>
          <w:sz w:val="24"/>
          <w:szCs w:val="24"/>
        </w:rPr>
        <w:t>ПРЕДЛОЖЕНИЯ</w:t>
      </w:r>
    </w:p>
    <w:p>
      <w:pPr>
        <w:pStyle w:val="Normal"/>
        <w:tabs>
          <w:tab w:val="clear" w:pos="708"/>
          <w:tab w:val="left" w:pos="720" w:leader="none"/>
        </w:tabs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На основании вышеизложенного, Контрольно-счётная палата Ленинского муниципального района  считает, что проект решения Ленинской районной Думы Волгоградской области   «О внесении изменений в решение Ленинской районной Думы от 19.12.2023г. №16/58 «О бюджете Ленинского муниципального района  на 2024 год и на плановый период 2025 и 2026 годов» возможен к рассмотрению Ленинской районной Думой Волгоградской области.</w:t>
      </w:r>
    </w:p>
    <w:p>
      <w:pPr>
        <w:pStyle w:val="Normal"/>
        <w:tabs>
          <w:tab w:val="clear" w:pos="708"/>
          <w:tab w:val="left" w:pos="720" w:leader="none"/>
        </w:tabs>
        <w:spacing w:lineRule="auto" w:line="240" w:before="0"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ConsPlusNormal"/>
        <w:numPr>
          <w:ilvl w:val="0"/>
          <w:numId w:val="0"/>
        </w:numPr>
        <w:ind w:firstLine="709" w:left="0"/>
        <w:jc w:val="both"/>
        <w:outlineLvl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ConsPlusNormal"/>
        <w:numPr>
          <w:ilvl w:val="0"/>
          <w:numId w:val="0"/>
        </w:numPr>
        <w:ind w:firstLine="709" w:left="0"/>
        <w:jc w:val="both"/>
        <w:outlineLvl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Председатель  Контрольно-счетной палаты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Ленинского муниципального района                                                                   Т. В. Мололкина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sectPr>
      <w:footerReference w:type="default" r:id="rId4"/>
      <w:type w:val="nextPage"/>
      <w:pgSz w:w="11906" w:h="16838"/>
      <w:pgMar w:left="1588" w:right="794" w:gutter="0" w:header="0" w:top="680" w:footer="709" w:bottom="766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Open Sans">
    <w:charset w:val="01"/>
    <w:family w:val="roman"/>
    <w:pitch w:val="variable"/>
  </w:font>
  <w:font w:name="Arial">
    <w:charset w:val="01"/>
    <w:family w:val="roman"/>
    <w:pitch w:val="variable"/>
  </w:font>
  <w:font w:name="Cambria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bookmarkStart w:id="0" w:name="PageNumWizard_FOOTER_Базовый1"/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7</w:t>
    </w:r>
    <w:r>
      <w:rPr/>
      <w:fldChar w:fldCharType="end"/>
    </w:r>
    <w:bookmarkEnd w:id="0"/>
  </w:p>
  <w:p>
    <w:pPr>
      <w:pStyle w:val="Footer"/>
      <w:jc w:val="center"/>
      <w:rPr/>
    </w:pPr>
    <w:sdt>
      <w:sdtPr>
        <w:id w:val="637083197"/>
      </w:sdtPr>
      <w:sdtContent>
        <w:r>
          <w:rPr/>
        </w:r>
        <w:r>
          <w:rPr/>
        </w:r>
      </w:sdtContent>
    </w:sdt>
  </w:p>
  <w:p>
    <w:pPr>
      <w:pStyle w:val="Footer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cs="Times New Roman"/>
      </w:rPr>
    </w:lvl>
    <w:lvl w:ilvl="1">
      <w:start w:val="3"/>
      <w:numFmt w:val="decimal"/>
      <w:lvlText w:val="%1.%2."/>
      <w:lvlJc w:val="left"/>
      <w:pPr>
        <w:tabs>
          <w:tab w:val="num" w:pos="0"/>
        </w:tabs>
        <w:ind w:left="1430" w:hanging="720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30" w:hanging="720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90" w:hanging="1080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790" w:hanging="1080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150" w:hanging="1440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50" w:hanging="144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10" w:hanging="1800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10" w:hanging="1800"/>
      </w:pPr>
      <w:rPr/>
    </w:lvl>
  </w:abstractNum>
  <w:abstractNum w:abstractNumId="2">
    <w:lvl w:ilvl="0">
      <w:start w:val="4"/>
      <w:numFmt w:val="decimal"/>
      <w:lvlText w:val="%1."/>
      <w:lvlJc w:val="left"/>
      <w:pPr>
        <w:tabs>
          <w:tab w:val="num" w:pos="0"/>
        </w:tabs>
        <w:ind w:left="143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215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87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59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431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503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75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47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7190" w:hanging="18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30"/>
  <w:defaultTabStop w:val="708"/>
  <w:autoHyphenation w:val="true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uiPriority="10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uiPriority="11" w:semiHidden="0" w:unhideWhenUsed="0" w:qFormat="1"/>
    <w:lsdException w:name="Block Text" w:uiPriority="0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871e6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eastAsiaTheme="minorEastAsia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ParagraphChar" w:customStyle="1">
    <w:name w:val="List Paragraph Char"/>
    <w:link w:val="12"/>
    <w:qFormat/>
    <w:locked/>
    <w:rsid w:val="009562a8"/>
    <w:rPr>
      <w:rFonts w:ascii="Calibri" w:hAnsi="Calibri" w:eastAsia="Calibri" w:cs="Times New Roman"/>
      <w:sz w:val="20"/>
      <w:szCs w:val="20"/>
      <w:lang w:eastAsia="ru-RU"/>
    </w:rPr>
  </w:style>
  <w:style w:type="character" w:styleId="CharAttribute2" w:customStyle="1">
    <w:name w:val="CharAttribute2"/>
    <w:uiPriority w:val="99"/>
    <w:qFormat/>
    <w:rsid w:val="009f6ad4"/>
    <w:rPr>
      <w:rFonts w:ascii="Times New Roman" w:hAnsi="Times New Roman" w:eastAsia="Times New Roman"/>
      <w:sz w:val="24"/>
    </w:rPr>
  </w:style>
  <w:style w:type="character" w:styleId="CharAttribute9" w:customStyle="1">
    <w:name w:val="CharAttribute9"/>
    <w:qFormat/>
    <w:rsid w:val="009f6ad4"/>
    <w:rPr>
      <w:rFonts w:ascii="Times New Roman" w:hAnsi="Times New Roman" w:eastAsia="Times New Roman"/>
    </w:rPr>
  </w:style>
  <w:style w:type="character" w:styleId="CharAttribute11" w:customStyle="1">
    <w:name w:val="CharAttribute11"/>
    <w:qFormat/>
    <w:rsid w:val="009f6ad4"/>
    <w:rPr>
      <w:rFonts w:ascii="Times New Roman" w:hAnsi="Times New Roman" w:eastAsia="Times New Roman"/>
      <w:b/>
    </w:rPr>
  </w:style>
  <w:style w:type="character" w:styleId="Style14" w:customStyle="1">
    <w:name w:val="Основной текст Знак"/>
    <w:basedOn w:val="DefaultParagraphFont"/>
    <w:qFormat/>
    <w:rsid w:val="009f6ad4"/>
    <w:rPr>
      <w:rFonts w:ascii="Calibri" w:hAnsi="Calibri" w:eastAsia="Calibri" w:cs="Times New Roman"/>
    </w:rPr>
  </w:style>
  <w:style w:type="character" w:styleId="Style15" w:customStyle="1">
    <w:name w:val="Основной текст с отступом Знак"/>
    <w:basedOn w:val="DefaultParagraphFont"/>
    <w:qFormat/>
    <w:rsid w:val="009f6ad4"/>
    <w:rPr>
      <w:rFonts w:ascii="Calibri" w:hAnsi="Calibri" w:eastAsia="Calibri" w:cs="Times New Roman"/>
      <w:sz w:val="24"/>
      <w:szCs w:val="24"/>
      <w:lang w:eastAsia="ru-RU"/>
    </w:rPr>
  </w:style>
  <w:style w:type="character" w:styleId="Style16" w:customStyle="1">
    <w:name w:val="Текст сноски Знак"/>
    <w:basedOn w:val="DefaultParagraphFont"/>
    <w:qFormat/>
    <w:rsid w:val="009f6ad4"/>
    <w:rPr>
      <w:rFonts w:ascii="Times New Roman" w:hAnsi="Times New Roman" w:eastAsia="Calibri" w:cs="Times New Roman"/>
      <w:sz w:val="20"/>
      <w:szCs w:val="20"/>
      <w:lang w:eastAsia="ru-RU"/>
    </w:rPr>
  </w:style>
  <w:style w:type="character" w:styleId="Style17">
    <w:name w:val="Символ сноски"/>
    <w:qFormat/>
    <w:rsid w:val="009f6ad4"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8" w:customStyle="1">
    <w:name w:val="Текст выноски Знак"/>
    <w:basedOn w:val="DefaultParagraphFont"/>
    <w:link w:val="BalloonText"/>
    <w:uiPriority w:val="99"/>
    <w:semiHidden/>
    <w:qFormat/>
    <w:rsid w:val="00544200"/>
    <w:rPr>
      <w:rFonts w:ascii="Segoe UI" w:hAnsi="Segoe UI" w:eastAsia="" w:cs="Segoe UI" w:eastAsiaTheme="minorEastAsia"/>
      <w:sz w:val="18"/>
      <w:szCs w:val="18"/>
      <w:lang w:eastAsia="ru-RU"/>
    </w:rPr>
  </w:style>
  <w:style w:type="character" w:styleId="Style19" w:customStyle="1">
    <w:name w:val="Гипертекстовая ссылка"/>
    <w:basedOn w:val="DefaultParagraphFont"/>
    <w:uiPriority w:val="99"/>
    <w:qFormat/>
    <w:rsid w:val="00237c81"/>
    <w:rPr>
      <w:color w:val="106BBE"/>
    </w:rPr>
  </w:style>
  <w:style w:type="character" w:styleId="Style20" w:customStyle="1">
    <w:name w:val="Верхний колонтитул Знак"/>
    <w:basedOn w:val="DefaultParagraphFont"/>
    <w:uiPriority w:val="99"/>
    <w:qFormat/>
    <w:rsid w:val="00ce58ec"/>
    <w:rPr>
      <w:rFonts w:eastAsia="" w:eastAsiaTheme="minorEastAsia"/>
      <w:lang w:eastAsia="ru-RU"/>
    </w:rPr>
  </w:style>
  <w:style w:type="character" w:styleId="Style21" w:customStyle="1">
    <w:name w:val="Нижний колонтитул Знак"/>
    <w:basedOn w:val="DefaultParagraphFont"/>
    <w:uiPriority w:val="99"/>
    <w:qFormat/>
    <w:rsid w:val="00ce58ec"/>
    <w:rPr>
      <w:rFonts w:eastAsia="" w:eastAsiaTheme="minorEastAsia"/>
      <w:lang w:eastAsia="ru-RU"/>
    </w:rPr>
  </w:style>
  <w:style w:type="character" w:styleId="Hyperlink">
    <w:name w:val="Hyperlink"/>
    <w:basedOn w:val="DefaultParagraphFont"/>
    <w:uiPriority w:val="99"/>
    <w:semiHidden/>
    <w:unhideWhenUsed/>
    <w:rsid w:val="00026cdf"/>
    <w:rPr>
      <w:color w:val="0000FF"/>
      <w:u w:val="single"/>
    </w:rPr>
  </w:style>
  <w:style w:type="paragraph" w:styleId="Style22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Lohit Devanagari"/>
      <w:sz w:val="28"/>
      <w:szCs w:val="28"/>
    </w:rPr>
  </w:style>
  <w:style w:type="paragraph" w:styleId="BodyText">
    <w:name w:val="Body Text"/>
    <w:basedOn w:val="Normal"/>
    <w:link w:val="Style14"/>
    <w:rsid w:val="009f6ad4"/>
    <w:pPr>
      <w:spacing w:before="0" w:after="120"/>
    </w:pPr>
    <w:rPr>
      <w:rFonts w:ascii="Calibri" w:hAnsi="Calibri" w:eastAsia="Calibri" w:cs="Times New Roman"/>
      <w:lang w:eastAsia="en-US"/>
    </w:rPr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Lohit Devanagari"/>
    </w:rPr>
  </w:style>
  <w:style w:type="paragraph" w:styleId="1" w:customStyle="1">
    <w:name w:val="Обычный1"/>
    <w:qFormat/>
    <w:rsid w:val="00f871e6"/>
    <w:pPr>
      <w:widowControl w:val="false"/>
      <w:suppressAutoHyphens w:val="true"/>
      <w:bidi w:val="0"/>
      <w:snapToGrid w:val="false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11" w:customStyle="1">
    <w:name w:val="1"/>
    <w:qFormat/>
    <w:rsid w:val="00f871e6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12" w:customStyle="1">
    <w:name w:val="Абзац списка1"/>
    <w:basedOn w:val="Normal"/>
    <w:link w:val="ListParagraphChar"/>
    <w:qFormat/>
    <w:rsid w:val="009562a8"/>
    <w:pPr>
      <w:spacing w:lineRule="auto" w:line="240" w:before="0" w:after="0"/>
      <w:ind w:left="720"/>
      <w:contextualSpacing/>
    </w:pPr>
    <w:rPr>
      <w:rFonts w:ascii="Calibri" w:hAnsi="Calibri" w:eastAsia="Calibri" w:cs="Times New Roman"/>
      <w:sz w:val="20"/>
      <w:szCs w:val="20"/>
    </w:rPr>
  </w:style>
  <w:style w:type="paragraph" w:styleId="BlockText">
    <w:name w:val="Block Text"/>
    <w:basedOn w:val="Normal"/>
    <w:qFormat/>
    <w:rsid w:val="009f6ad4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spacing w:lineRule="auto" w:line="240" w:before="0" w:after="0"/>
      <w:ind w:left="720" w:right="1075"/>
      <w:jc w:val="both"/>
    </w:pPr>
    <w:rPr>
      <w:rFonts w:ascii="Times New Roman" w:hAnsi="Times New Roman" w:eastAsia="Calibri" w:cs="Times New Roman"/>
      <w:b/>
      <w:bCs/>
      <w:i/>
      <w:iCs/>
      <w:sz w:val="28"/>
      <w:szCs w:val="24"/>
    </w:rPr>
  </w:style>
  <w:style w:type="paragraph" w:styleId="ParaAttribute2" w:customStyle="1">
    <w:name w:val="ParaAttribute2"/>
    <w:qFormat/>
    <w:rsid w:val="009f6ad4"/>
    <w:pPr>
      <w:widowControl/>
      <w:suppressAutoHyphens w:val="true"/>
      <w:bidi w:val="0"/>
      <w:spacing w:lineRule="auto" w:line="240" w:before="0" w:after="0"/>
      <w:jc w:val="center"/>
    </w:pPr>
    <w:rPr>
      <w:rFonts w:ascii="Times New Roman" w:hAnsi="Times New Roman" w:eastAsia="Calibri" w:cs="Times New Roman" w:eastAsiaTheme="minorHAnsi"/>
      <w:color w:val="auto"/>
      <w:kern w:val="0"/>
      <w:sz w:val="20"/>
      <w:szCs w:val="20"/>
      <w:lang w:val="ru-RU" w:eastAsia="ru-RU" w:bidi="ar-SA"/>
    </w:rPr>
  </w:style>
  <w:style w:type="paragraph" w:styleId="ParaAttribute9" w:customStyle="1">
    <w:name w:val="ParaAttribute9"/>
    <w:qFormat/>
    <w:rsid w:val="009f6ad4"/>
    <w:pPr>
      <w:widowControl/>
      <w:suppressAutoHyphens w:val="true"/>
      <w:bidi w:val="0"/>
      <w:spacing w:lineRule="auto" w:line="240" w:before="0" w:after="0"/>
      <w:ind w:firstLine="720"/>
      <w:jc w:val="right"/>
    </w:pPr>
    <w:rPr>
      <w:rFonts w:ascii="Times New Roman" w:hAnsi="Times New Roman" w:eastAsia="Calibri" w:cs="Times New Roman" w:eastAsiaTheme="minorHAnsi"/>
      <w:color w:val="auto"/>
      <w:kern w:val="0"/>
      <w:sz w:val="20"/>
      <w:szCs w:val="20"/>
      <w:lang w:val="ru-RU" w:eastAsia="ru-RU" w:bidi="ar-SA"/>
    </w:rPr>
  </w:style>
  <w:style w:type="paragraph" w:styleId="ParaAttribute11" w:customStyle="1">
    <w:name w:val="ParaAttribute11"/>
    <w:uiPriority w:val="99"/>
    <w:qFormat/>
    <w:rsid w:val="009f6ad4"/>
    <w:pPr>
      <w:widowControl/>
      <w:suppressAutoHyphens w:val="true"/>
      <w:bidi w:val="0"/>
      <w:spacing w:lineRule="auto" w:line="240" w:before="0" w:after="0"/>
      <w:ind w:firstLine="720"/>
      <w:jc w:val="both"/>
    </w:pPr>
    <w:rPr>
      <w:rFonts w:ascii="Times New Roman" w:hAnsi="Times New Roman" w:eastAsia="Calibri" w:cs="Times New Roman" w:eastAsiaTheme="minorHAnsi"/>
      <w:color w:val="auto"/>
      <w:kern w:val="0"/>
      <w:sz w:val="20"/>
      <w:szCs w:val="20"/>
      <w:lang w:val="ru-RU" w:eastAsia="ru-RU" w:bidi="ar-SA"/>
    </w:rPr>
  </w:style>
  <w:style w:type="paragraph" w:styleId="ParaAttribute8" w:customStyle="1">
    <w:name w:val="ParaAttribute8"/>
    <w:qFormat/>
    <w:rsid w:val="009f6ad4"/>
    <w:pPr>
      <w:widowControl/>
      <w:suppressAutoHyphens w:val="true"/>
      <w:bidi w:val="0"/>
      <w:spacing w:lineRule="auto" w:line="240" w:before="0" w:after="0"/>
      <w:ind w:firstLine="540"/>
      <w:jc w:val="both"/>
    </w:pPr>
    <w:rPr>
      <w:rFonts w:ascii="Times New Roman" w:hAnsi="Times New Roman" w:eastAsia="Calibri" w:cs="Times New Roman" w:eastAsiaTheme="minorHAnsi"/>
      <w:color w:val="auto"/>
      <w:kern w:val="0"/>
      <w:sz w:val="20"/>
      <w:szCs w:val="20"/>
      <w:lang w:val="ru-RU" w:eastAsia="ru-RU" w:bidi="ar-SA"/>
    </w:rPr>
  </w:style>
  <w:style w:type="paragraph" w:styleId="Default" w:customStyle="1">
    <w:name w:val="Default"/>
    <w:qFormat/>
    <w:rsid w:val="009f6ad4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ru-RU" w:eastAsia="ru-RU" w:bidi="ar-SA"/>
    </w:rPr>
  </w:style>
  <w:style w:type="paragraph" w:styleId="BodyTextIndent">
    <w:name w:val="Body Text Indent"/>
    <w:basedOn w:val="Normal"/>
    <w:link w:val="Style15"/>
    <w:rsid w:val="009f6ad4"/>
    <w:pPr>
      <w:spacing w:lineRule="auto" w:line="240" w:before="0" w:after="120"/>
      <w:ind w:left="283"/>
    </w:pPr>
    <w:rPr>
      <w:rFonts w:ascii="Calibri" w:hAnsi="Calibri" w:eastAsia="Calibri" w:cs="Times New Roman"/>
      <w:sz w:val="24"/>
      <w:szCs w:val="24"/>
    </w:rPr>
  </w:style>
  <w:style w:type="paragraph" w:styleId="ConsPlusNormal" w:customStyle="1">
    <w:name w:val="ConsPlusNormal"/>
    <w:qFormat/>
    <w:rsid w:val="009f6ad4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6"/>
      <w:szCs w:val="26"/>
      <w:lang w:val="ru-RU" w:eastAsia="ru-RU" w:bidi="ar-SA"/>
    </w:rPr>
  </w:style>
  <w:style w:type="paragraph" w:styleId="FootnoteText">
    <w:name w:val="Footnote Text"/>
    <w:basedOn w:val="Normal"/>
    <w:link w:val="Style16"/>
    <w:rsid w:val="009f6ad4"/>
    <w:pPr>
      <w:spacing w:lineRule="auto" w:line="240" w:before="0" w:after="0"/>
    </w:pPr>
    <w:rPr>
      <w:rFonts w:ascii="Times New Roman" w:hAnsi="Times New Roman" w:eastAsia="Calibri" w:cs="Times New Roman"/>
      <w:sz w:val="20"/>
      <w:szCs w:val="20"/>
    </w:rPr>
  </w:style>
  <w:style w:type="paragraph" w:styleId="BalloonText">
    <w:name w:val="Balloon Text"/>
    <w:basedOn w:val="Normal"/>
    <w:link w:val="Style18"/>
    <w:uiPriority w:val="99"/>
    <w:semiHidden/>
    <w:unhideWhenUsed/>
    <w:qFormat/>
    <w:rsid w:val="0054420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5a6019"/>
    <w:pPr>
      <w:spacing w:before="0" w:after="200"/>
      <w:ind w:left="720"/>
      <w:contextualSpacing/>
    </w:pPr>
    <w:rPr/>
  </w:style>
  <w:style w:type="paragraph" w:styleId="Style24">
    <w:name w:val="Колонтитул"/>
    <w:basedOn w:val="Normal"/>
    <w:qFormat/>
    <w:pPr/>
    <w:rPr/>
  </w:style>
  <w:style w:type="paragraph" w:styleId="Header">
    <w:name w:val="Header"/>
    <w:basedOn w:val="Normal"/>
    <w:link w:val="Style20"/>
    <w:uiPriority w:val="99"/>
    <w:unhideWhenUsed/>
    <w:rsid w:val="00ce58ec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yle21"/>
    <w:uiPriority w:val="99"/>
    <w:unhideWhenUsed/>
    <w:rsid w:val="00ce58ec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5" w:customStyle="1">
    <w:name w:val="Комментарий"/>
    <w:basedOn w:val="Normal"/>
    <w:next w:val="Normal"/>
    <w:uiPriority w:val="99"/>
    <w:qFormat/>
    <w:rsid w:val="0006054b"/>
    <w:pPr>
      <w:spacing w:lineRule="auto" w:line="240" w:before="75" w:after="0"/>
      <w:ind w:left="170"/>
      <w:jc w:val="both"/>
    </w:pPr>
    <w:rPr>
      <w:rFonts w:ascii="Arial" w:hAnsi="Arial" w:eastAsia="Calibri" w:cs="Arial" w:eastAsiaTheme="minorHAnsi"/>
      <w:color w:val="353842"/>
      <w:sz w:val="24"/>
      <w:szCs w:val="24"/>
      <w:shd w:fill="F0F0F0" w:val="clear"/>
      <w:lang w:eastAsia="en-US"/>
    </w:rPr>
  </w:style>
  <w:style w:type="paragraph" w:styleId="S1" w:customStyle="1">
    <w:name w:val="s_1"/>
    <w:basedOn w:val="Normal"/>
    <w:qFormat/>
    <w:rsid w:val="00026cdf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S16" w:customStyle="1">
    <w:name w:val="s_16"/>
    <w:basedOn w:val="Normal"/>
    <w:qFormat/>
    <w:rsid w:val="00f37bf9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Empty" w:customStyle="1">
    <w:name w:val="empty"/>
    <w:basedOn w:val="Normal"/>
    <w:qFormat/>
    <w:rsid w:val="00f37bf9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Style26">
    <w:name w:val="Содержимое таблицы"/>
    <w:basedOn w:val="Normal"/>
    <w:qFormat/>
    <w:pPr>
      <w:widowControl w:val="false"/>
      <w:suppressLineNumbers/>
    </w:pPr>
    <w:rPr/>
  </w:style>
  <w:style w:type="paragraph" w:styleId="Style27">
    <w:name w:val="Заголовок таблицы"/>
    <w:basedOn w:val="Style26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consultantplus://offline/ref=D0BD7455F186B98949947C74A420903096E76CF7C67BBC88D8CD6B5AAB0C18FAE55E415B4COCJ8H" TargetMode="External"/><Relationship Id="rId4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B4756B-F066-4BE9-B0E9-F39F837C25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678</TotalTime>
  <Application>LibreOffice/7.6.0.3$Linux_X86_64 LibreOffice_project/60$Build-3</Application>
  <AppVersion>15.0000</AppVersion>
  <Pages>7</Pages>
  <Words>2392</Words>
  <Characters>16278</Characters>
  <CharactersWithSpaces>18793</CharactersWithSpaces>
  <Paragraphs>122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2024-06-26T09:44:00Z</dcterms:created>
  <dc:creator>Администратор</dc:creator>
  <dc:description/>
  <dc:language>ru-RU</dc:language>
  <cp:lastModifiedBy/>
  <cp:lastPrinted>2024-09-20T14:11:07Z</cp:lastPrinted>
  <dcterms:modified xsi:type="dcterms:W3CDTF">2024-10-17T11:56:56Z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