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47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890"/>
        <w:gridCol w:w="5005"/>
        <w:gridCol w:w="576"/>
      </w:tblGrid>
      <w:tr>
        <w:trPr>
          <w:trHeight w:val="372" w:hRule="atLeast"/>
          <w:cantSplit w:val="true"/>
        </w:trPr>
        <w:tc>
          <w:tcPr>
            <w:tcW w:w="8895" w:type="dxa"/>
            <w:gridSpan w:val="2"/>
            <w:tcBorders/>
          </w:tcPr>
          <w:p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  <w:tc>
          <w:tcPr>
            <w:tcW w:w="576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938" w:hRule="atLeast"/>
          <w:cantSplit w:val="true"/>
        </w:trPr>
        <w:tc>
          <w:tcPr>
            <w:tcW w:w="8895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576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117" w:hRule="atLeast"/>
        </w:trPr>
        <w:tc>
          <w:tcPr>
            <w:tcW w:w="3890" w:type="dxa"/>
            <w:tcBorders>
              <w:top w:val="thinThickSmallGap" w:sz="18" w:space="0" w:color="000000"/>
            </w:tcBorders>
          </w:tcPr>
          <w:p>
            <w:pPr>
              <w:pStyle w:val="11"/>
              <w:ind w:right="-4083"/>
              <w:rPr>
                <w:color w:themeColor="text1" w:val="000000"/>
                <w:sz w:val="26"/>
                <w:szCs w:val="26"/>
                <w:lang w:val="en-US"/>
              </w:rPr>
            </w:pPr>
            <w:r>
              <w:rPr>
                <w:color w:themeColor="text1" w:val="000000"/>
                <w:sz w:val="26"/>
                <w:szCs w:val="26"/>
              </w:rPr>
              <w:t xml:space="preserve">  №</w:t>
            </w:r>
            <w:r>
              <w:rPr>
                <w:color w:themeColor="text1" w:val="000000"/>
                <w:sz w:val="26"/>
                <w:szCs w:val="26"/>
              </w:rPr>
              <w:t>94</w:t>
            </w:r>
            <w:r>
              <w:rPr>
                <w:color w:themeColor="text1" w:val="000000"/>
                <w:sz w:val="26"/>
                <w:szCs w:val="26"/>
              </w:rPr>
              <w:t>/6</w:t>
            </w:r>
            <w:r>
              <w:rPr>
                <w:color w:themeColor="text1" w:val="000000"/>
                <w:sz w:val="26"/>
                <w:szCs w:val="26"/>
              </w:rPr>
              <w:t>49</w:t>
            </w:r>
          </w:p>
          <w:p>
            <w:pPr>
              <w:pStyle w:val="11"/>
              <w:rPr>
                <w:color w:themeColor="text1" w:val="000000"/>
                <w:sz w:val="26"/>
                <w:szCs w:val="26"/>
              </w:rPr>
            </w:pPr>
            <w:r>
              <w:rPr>
                <w:color w:themeColor="text1" w:val="000000"/>
                <w:sz w:val="26"/>
                <w:szCs w:val="26"/>
              </w:rPr>
            </w:r>
          </w:p>
          <w:p>
            <w:pPr>
              <w:pStyle w:val="11"/>
              <w:rPr>
                <w:color w:themeColor="text1" w:val="000000"/>
                <w:sz w:val="26"/>
                <w:szCs w:val="26"/>
              </w:rPr>
            </w:pPr>
            <w:r>
              <w:rPr>
                <w:color w:themeColor="text1" w:val="000000"/>
                <w:sz w:val="26"/>
                <w:szCs w:val="26"/>
              </w:rPr>
            </w:r>
          </w:p>
        </w:tc>
        <w:tc>
          <w:tcPr>
            <w:tcW w:w="5581" w:type="dxa"/>
            <w:gridSpan w:val="2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ind w:right="-344"/>
              <w:jc w:val="center"/>
              <w:rPr>
                <w:rFonts w:ascii="Times New Roman" w:hAnsi="Times New Roman" w:cs="Times New Roman"/>
                <w:color w:themeColor="text1" w:val="000000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 xml:space="preserve">                                                   </w:t>
            </w: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>03.12.2024г.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color w:val="3465A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color w:val="3465A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по итогам финансово — экономической экспертизы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04.10.2017 №466 «Об утверждении муниципальной  программы Ленинского муниципального района  «Развитие агропромышленного комплекса Ленинского  муниципального района»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 (</w:t>
      </w:r>
      <w:r>
        <w:rPr>
          <w:rFonts w:cs="Times New Roman" w:ascii="Times New Roman" w:hAnsi="Times New Roman"/>
          <w:color w:val="000000"/>
          <w:sz w:val="26"/>
          <w:szCs w:val="26"/>
        </w:rPr>
        <w:t>в редакции постановлений от 26.06.2018 №391, от 30.11.2018 №676, от 23.04.2019 №179, от 30.09.2019г. №504, от 22.11.2019г. №645, от 30.12.2019г. №744,  от 15.04.2020 №173, от 12.05.2020 №221, от 11.06.2020 №260, от 03.08.2020 №346, от 25.12.2020 №639, от 11.05.2021 №260, от 18.06.2021 №323, от 29.12.2021 №677, от 04.03.2022 №102, от 08.07.2022 №343, от 01.12.2022 №604, от 07.03.2023 №99, от 05.07.2023 №301, от 24.08.2023 №393, от 16.01.2024 №6, от 14.02.2024 №43,  от 16.07.2024 №276).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, </w:t>
      </w:r>
      <w:r>
        <w:rPr>
          <w:rFonts w:cs="Times New Roman" w:ascii="Times New Roman" w:hAnsi="Times New Roman"/>
          <w:color w:val="000000"/>
          <w:sz w:val="26"/>
          <w:szCs w:val="26"/>
        </w:rPr>
        <w:t>плана работы Контрольно-счетной палаты  Ленинского муниципального района  на 2024 год и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распоряжения  на проведение экспертизы №66-р от 03.12.2024г. Контрольно-счётной палатой Ленинского муниципального района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04.10.2017 №466 «Об утверждении муниципальной программы Ленинского муниципального района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«</w:t>
      </w:r>
      <w:r>
        <w:rPr>
          <w:rFonts w:cs="Times New Roman" w:ascii="Times New Roman" w:hAnsi="Times New Roman"/>
          <w:color w:val="000000"/>
          <w:sz w:val="26"/>
          <w:szCs w:val="26"/>
        </w:rPr>
        <w:t>Развитие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агропромышленного комплекса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Ленинского муниципального района» (далее – проект Постановления, проект).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В соответствии со ст. 179 Бюджетного кодекса РФ от 31.07.1998г. № 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</w:t>
      </w:r>
      <w:r>
        <w:rPr>
          <w:rFonts w:cs="Times New Roman" w:ascii="Tempora LGC Uni" w:hAnsi="Tempora LGC Uni"/>
          <w:color w:val="000000"/>
          <w:sz w:val="26"/>
          <w:szCs w:val="26"/>
        </w:rPr>
        <w:t>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муниципальную программу Ленинского муниципального района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>«</w:t>
      </w:r>
      <w:r>
        <w:rPr>
          <w:rFonts w:cs="Times New Roman" w:ascii="Tempora LGC Uni" w:hAnsi="Tempora LGC Uni"/>
          <w:color w:val="000000"/>
          <w:sz w:val="26"/>
          <w:szCs w:val="26"/>
        </w:rPr>
        <w:t>Развитие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>агропромышленного комплекса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Ленинского муниципального района» (далее –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В Контрольно-счетную палату с письмом Отдела по сельскому хозяйству и продовольствию администрации Ленинского муниципального района  от 02.12.2024 №168, согласно п.4.9. Порядка, утвержденного Постановлением №573, представлены: проект Постановления,  проект паспорта Программы, </w:t>
      </w:r>
      <w:r>
        <w:rPr>
          <w:rFonts w:cs="Times New Roman" w:ascii="Tempora LGC Uni" w:hAnsi="Tempora LGC Uni"/>
          <w:color w:val="000000"/>
          <w:sz w:val="26"/>
          <w:szCs w:val="26"/>
        </w:rPr>
        <w:t>пояснительная записка к изменениям  в Программу.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В ходе подготовки заключения был 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>Ответственным исполнителем Программы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является отдел по сельскому хозяйству и продовольствию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Соисполнителями Программы являются: </w:t>
      </w:r>
      <w:r>
        <w:rPr>
          <w:rFonts w:cs="Times New Roman" w:ascii="Tempora LGC Uni" w:hAnsi="Tempora LGC Uni"/>
          <w:color w:val="000000"/>
          <w:sz w:val="26"/>
          <w:szCs w:val="26"/>
        </w:rPr>
        <w:t>Отдел по жизнеобеспечению администрации Ленинского муниципального района, АО «Птицефабрика Волжская», КТ «Фролов и К», СПК «Ахтуба», СПК «Престиж», СПК «Овощное», СПССК «Молре», ООО «Агро-Юг», ООО «Кухмастер», КФХ, ИП главы К(Ф)Х, ИП.</w:t>
      </w:r>
    </w:p>
    <w:p>
      <w:pPr>
        <w:pStyle w:val="NoSpacing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ab/>
      </w:r>
      <w:r>
        <w:rPr>
          <w:rFonts w:ascii="Tempora LGC Uni" w:hAnsi="Tempora LGC Uni"/>
          <w:b/>
          <w:color w:val="000000"/>
          <w:sz w:val="26"/>
          <w:szCs w:val="26"/>
        </w:rPr>
        <w:t xml:space="preserve">Целями Программы являются: </w:t>
      </w:r>
      <w:r>
        <w:rPr>
          <w:rFonts w:ascii="Tempora LGC Uni" w:hAnsi="Tempora LGC Uni"/>
          <w:color w:val="000000"/>
          <w:sz w:val="26"/>
          <w:szCs w:val="26"/>
        </w:rPr>
        <w:t>обеспечение устойчивого функционирования и развития агропромышленного комплекса района на основе финансовой устойчивости и модернизации сельского хозяйства; увеличение объемов производства сельскохозяйственной продукции; повышение конкурентоспособности местной сельскохозяйственной продукции; повышение эффективности и рационального использования в сельском хозяйстве земельных ресурсов.</w:t>
      </w:r>
    </w:p>
    <w:p>
      <w:pPr>
        <w:pStyle w:val="NoSpacing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ab/>
      </w:r>
      <w:r>
        <w:rPr>
          <w:rFonts w:ascii="Tempora LGC Uni" w:hAnsi="Tempora LGC Uni"/>
          <w:b/>
          <w:color w:val="000000"/>
          <w:sz w:val="26"/>
          <w:szCs w:val="26"/>
        </w:rPr>
        <w:t>Основными задачами Программы являются</w:t>
      </w:r>
      <w:r>
        <w:rPr>
          <w:rFonts w:ascii="Tempora LGC Uni" w:hAnsi="Tempora LGC Uni"/>
          <w:color w:val="000000"/>
          <w:sz w:val="26"/>
          <w:szCs w:val="26"/>
        </w:rPr>
        <w:t xml:space="preserve"> создание условий для увеличения объемов производства сельскохозяйственной продукции и эффективности функционирования агропромышленного комплекса, а также повышение занятости и уровня жизни сельского населения. </w:t>
      </w:r>
    </w:p>
    <w:p>
      <w:pPr>
        <w:pStyle w:val="NoSpacing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ab/>
      </w:r>
      <w:r>
        <w:rPr>
          <w:rFonts w:ascii="Tempora LGC Uni" w:hAnsi="Tempora LGC Uni"/>
          <w:b/>
          <w:color w:val="000000"/>
          <w:sz w:val="26"/>
          <w:szCs w:val="26"/>
        </w:rPr>
        <w:t>Сроки и этапы реализации Программы:</w:t>
      </w:r>
      <w:r>
        <w:rPr>
          <w:rFonts w:ascii="Tempora LGC Uni" w:hAnsi="Tempora LGC Uni"/>
          <w:color w:val="000000"/>
          <w:sz w:val="26"/>
          <w:szCs w:val="26"/>
        </w:rPr>
        <w:t xml:space="preserve"> Программа реализуется в три этапа: 1 этап – 2018-2020 годы; 2 этап – 2021-2023 годы; 3 этап -  2024-2026 годы.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Согласно пояснительной записке,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изменения в Программу вносятся на основании рекомендации по Постановлению Правительства РФ от 14.05.2024 №731 «О государственной программе эффективного вовлечения в оборот земель сельскохозяйственного назначения и развития мелиоративного комплекса Российской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Федерации» с целью выполнения мероприятий по подготовке проектов межевания земельных участков и кадастровым работам земельных участков из категории земель сельскохозяйственного назначения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и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вовлечения их в оборот.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В связи с этим вносятся изменения в следующие </w:t>
      </w:r>
      <w:r>
        <w:rPr>
          <w:rFonts w:ascii="Nimbus Roman" w:hAnsi="Nimbus Roman"/>
          <w:b/>
          <w:bCs/>
          <w:color w:val="000000"/>
          <w:sz w:val="26"/>
          <w:szCs w:val="26"/>
        </w:rPr>
        <w:t>позиции паспорта Программы</w:t>
      </w:r>
      <w:r>
        <w:rPr>
          <w:rFonts w:ascii="Nimbus Roman" w:hAnsi="Nimbus Roman"/>
          <w:color w:val="000000"/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- </w:t>
      </w:r>
      <w:r>
        <w:rPr>
          <w:rFonts w:ascii="Nimbus Roman" w:hAnsi="Nimbus Roman"/>
          <w:b/>
          <w:bCs/>
          <w:color w:val="000000"/>
          <w:sz w:val="26"/>
          <w:szCs w:val="26"/>
        </w:rPr>
        <w:t xml:space="preserve">«Соисполнители Программы (подпрограммы)» </w:t>
      </w:r>
      <w:r>
        <w:rPr>
          <w:rFonts w:ascii="Nimbus Roman" w:hAnsi="Nimbus Roman"/>
          <w:color w:val="000000"/>
          <w:sz w:val="26"/>
          <w:szCs w:val="26"/>
        </w:rPr>
        <w:t>дополнена соисполнителем — Отдел по управлению муниципальным имуществом и землепользованию администрации Ленинского муниципального района;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- </w:t>
      </w:r>
      <w:r>
        <w:rPr>
          <w:rFonts w:ascii="Nimbus Roman" w:hAnsi="Nimbus Roman"/>
          <w:b/>
          <w:bCs/>
          <w:color w:val="000000"/>
          <w:sz w:val="26"/>
          <w:szCs w:val="26"/>
        </w:rPr>
        <w:t>«Задачи Программы (подпрограммы)»</w:t>
      </w:r>
      <w:r>
        <w:rPr>
          <w:rFonts w:ascii="Nimbus Roman" w:hAnsi="Nimbus Roman"/>
          <w:color w:val="000000"/>
          <w:sz w:val="26"/>
          <w:szCs w:val="26"/>
        </w:rPr>
        <w:t xml:space="preserve"> - дополнена задачей — организация мер по оформлению земель сельскохозяйственного назначения на территории муниципального образования;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- </w:t>
      </w:r>
      <w:r>
        <w:rPr>
          <w:rFonts w:ascii="Nimbus Roman" w:hAnsi="Nimbus Roman"/>
          <w:b/>
          <w:bCs/>
          <w:color w:val="000000"/>
          <w:sz w:val="26"/>
          <w:szCs w:val="26"/>
        </w:rPr>
        <w:t>«Целевые показатели Программы (подпрограммы)»</w:t>
      </w:r>
      <w:r>
        <w:rPr>
          <w:rFonts w:ascii="Nimbus Roman" w:hAnsi="Nimbus Roman"/>
          <w:color w:val="000000"/>
          <w:sz w:val="26"/>
          <w:szCs w:val="26"/>
        </w:rPr>
        <w:t xml:space="preserve"> - дополнена целевым показателем — площадь земельных участков, поставленных на государственный кадастровый учет;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- </w:t>
      </w:r>
      <w:r>
        <w:rPr>
          <w:rFonts w:ascii="Nimbus Roman" w:hAnsi="Nimbus Roman"/>
          <w:b/>
          <w:bCs/>
          <w:color w:val="000000"/>
          <w:sz w:val="26"/>
          <w:szCs w:val="26"/>
        </w:rPr>
        <w:t>«Ожидаемые результаты реализации Программы (подпрограммы)»</w:t>
      </w:r>
      <w:r>
        <w:rPr>
          <w:rFonts w:ascii="Nimbus Roman" w:hAnsi="Nimbus Roman"/>
          <w:color w:val="000000"/>
          <w:sz w:val="26"/>
          <w:szCs w:val="26"/>
        </w:rPr>
        <w:t xml:space="preserve"> - дополнена следующим результатом реализации Программы — увеличение площади земельных участков из состава земель сельскохозяйственного назначения, государственная собственность на которые не разграничена, с внесением в Единый государственный реестр недвижимости сведений о таких земельных участках, в том числе об их границах, соответствующих требованиям законодательства Российской Федерации.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Соответственно вносятся изменения и в разделы текстовой части паспорта Программы: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 xml:space="preserve">раздел 2 «Цели, задачи, сроки и этапы реализации муниципальной программы»,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 xml:space="preserve">раздел 3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>«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Целевые показатели муниципальной программы, ожидаемые конечные результаты реализации муниципальной программы».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b/>
          <w:bCs/>
          <w:color w:val="000000"/>
          <w:sz w:val="26"/>
          <w:szCs w:val="26"/>
        </w:rPr>
        <w:t xml:space="preserve">Раздел 4 «Обобщенная характеристика основных мероприятий муниципальной программы (подпрограммы)»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дополнен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подразделом 4.6.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«Региональный проект, не входящий в состав национального проекта «Эффективное вовлечение в оборот земель сельскохозяйственного назначения и развития мелиоративного комплекса»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 (подготовка проектов межевания земельных участков и проведение кадастровых работ).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Общий объем финансирования действующей Программы составляет 71128,878 тыс. руб.,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в том числе: средства областного бюджета в размере 60424,0 тыс. руб., средства бюджета района 10704,878 тыс. руб.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>Предлагаемым проектом, вносятся изменения в объем финансирования Программы, который  составит 71330</w:t>
      </w:r>
      <w:r>
        <w:rPr>
          <w:rFonts w:cs="Times New Roman" w:ascii="Tempora LGC Uni" w:hAnsi="Tempora LGC Uni"/>
          <w:b w:val="false"/>
          <w:bCs w:val="false"/>
          <w:color w:val="000000"/>
          <w:sz w:val="26"/>
          <w:szCs w:val="26"/>
        </w:rPr>
        <w:t>,888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>тыс. руб., в том числе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:</w:t>
      </w:r>
    </w:p>
    <w:p>
      <w:pPr>
        <w:pStyle w:val="NoSpacing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из областного бюджета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 60625,80 </w:t>
      </w:r>
      <w:r>
        <w:rPr>
          <w:rFonts w:ascii="Tempora LGC Uni" w:hAnsi="Tempora LGC Uni"/>
          <w:color w:val="000000"/>
          <w:sz w:val="26"/>
          <w:szCs w:val="26"/>
        </w:rPr>
        <w:t>тыс. руб., из них: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2018 год   0,0 тыс. руб., 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>2019 год   5000,0 тыс. руб.;</w:t>
        <w:tab/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  <w:t>2020 год   6619,50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2021 год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6619,50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2022 год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8302,85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2023 год 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8492,86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2024 год 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8664,89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>2025 год    8463,10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2026 год    8463,10 тыс. руб.;</w:t>
      </w:r>
    </w:p>
    <w:p>
      <w:pPr>
        <w:pStyle w:val="NoSpacing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из бюджета района 10705,088 тыс. руб., из них:</w:t>
      </w:r>
    </w:p>
    <w:p>
      <w:pPr>
        <w:pStyle w:val="Normal"/>
        <w:shd w:val="clear" w:color="auto" w:fill="FFFFFF"/>
        <w:spacing w:lineRule="auto" w:line="240" w:before="0" w:after="0"/>
        <w:ind w:left="1416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2018 год – 72,0 тыс. руб.;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>2019 год  39,954 тыс. руб.;</w:t>
        <w:tab/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  <w:t xml:space="preserve">2020год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 110</w:t>
      </w:r>
      <w:r>
        <w:rPr>
          <w:rFonts w:cs="Times New Roman" w:ascii="Tempora LGC Uni" w:hAnsi="Tempora LGC Uni"/>
          <w:color w:val="000000"/>
          <w:sz w:val="26"/>
          <w:szCs w:val="26"/>
        </w:rPr>
        <w:t>6,314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>2021 год   735,50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>2022 год   4386,44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2023 год 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943,65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>2024 год   940,55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тыс. руб.;</w:t>
      </w:r>
    </w:p>
    <w:p>
      <w:pPr>
        <w:pStyle w:val="Normal"/>
        <w:tabs>
          <w:tab w:val="clear" w:pos="708"/>
          <w:tab w:val="left" w:pos="1364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>2025 год   1240,34 тыс.руб.;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2026 год   1240,34 тыс. руб.</w:t>
      </w:r>
    </w:p>
    <w:p>
      <w:pPr>
        <w:pStyle w:val="Normal"/>
        <w:tabs>
          <w:tab w:val="clear" w:pos="708"/>
          <w:tab w:val="left" w:pos="1418" w:leader="none"/>
          <w:tab w:val="left" w:pos="1691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Таким образом, предлагаемым проектом </w:t>
      </w:r>
      <w:r>
        <w:rPr>
          <w:rFonts w:cs="Times New Roman" w:ascii="Tempora LGC Uni" w:hAnsi="Tempora LGC Uni"/>
          <w:color w:val="000000"/>
          <w:sz w:val="26"/>
          <w:szCs w:val="26"/>
        </w:rPr>
        <w:t>П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остановления предусмотрено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>увеличение объема финансирования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на реализацию Программы на сумму 202,01 тыс. руб., в том числе за счет средств областного бюджета  на сумму 201,80 тыс. руб., за счет средств бюджета района на 0,21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Изменения по объему финансирования внесены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позицию  паспорта Программы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</w:rPr>
        <w:t>«Объемы и источники финансирования Программы (подпрограммы)»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и в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форму 1</w:t>
      </w:r>
      <w:r>
        <w:rPr>
          <w:rFonts w:ascii="Tempora LGC Uni" w:hAnsi="Tempora LGC Uni"/>
          <w:color w:val="000000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форму 2</w:t>
      </w:r>
      <w:r>
        <w:rPr>
          <w:rFonts w:ascii="Tempora LGC Uni" w:hAnsi="Tempora LGC Uni"/>
          <w:color w:val="000000"/>
          <w:sz w:val="26"/>
          <w:szCs w:val="26"/>
        </w:rPr>
        <w:t xml:space="preserve"> «Перечень мероприятий муниципальной программы Ленинского муниципального района» и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форму 3</w:t>
      </w:r>
      <w:r>
        <w:rPr>
          <w:rFonts w:ascii="Tempora LGC Uni" w:hAnsi="Tempora LGC Uni"/>
          <w:color w:val="000000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Spacing"/>
        <w:ind w:firstLine="360"/>
        <w:jc w:val="both"/>
        <w:rPr>
          <w:color w:val="000000"/>
        </w:rPr>
      </w:pPr>
      <w:r>
        <w:rPr>
          <w:rFonts w:ascii="Tempora LGC Uni" w:hAnsi="Tempora LGC Uni"/>
          <w:b/>
          <w:color w:val="000000"/>
          <w:sz w:val="26"/>
          <w:szCs w:val="26"/>
          <w:u w:val="single"/>
        </w:rPr>
        <w:t>Вывод:</w:t>
      </w:r>
      <w:r>
        <w:rPr>
          <w:rFonts w:ascii="Tempora LGC Uni" w:hAnsi="Tempora LGC Uni"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04.10.2017г.  №466  «Об утверждении муниципальной  программы Ленинского муниципального района «Развитие агропромышленного комплекса Ленинского муниципального района» возможным к утверждению в предлагаемой редакции.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        </w:t>
      </w:r>
      <w:r>
        <w:rPr>
          <w:rFonts w:ascii="Tempora LGC Uni" w:hAnsi="Tempora LGC Uni"/>
          <w:color w:val="000000"/>
          <w:sz w:val="26"/>
          <w:szCs w:val="26"/>
        </w:rPr>
        <w:t xml:space="preserve">Вместе с тем, Контрольно-счетная палата обращает внимание, что в соответствии с п.6.3. раздела 6 Порядка, утвержденного Постановлением №573, ответственный исполнитель Программы, </w:t>
      </w:r>
      <w:r>
        <w:rPr>
          <w:rFonts w:ascii="Tempora LGC Uni" w:hAnsi="Tempora LGC Uni"/>
          <w:b/>
          <w:color w:val="000000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ascii="Tempora LGC Uni" w:hAnsi="Tempora LGC Uni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 w:cs="Times New Roman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Председатель Контрольно-счетной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палаты Ленинского муниципального   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района                                                                                                           Т.В.Мололкина  </w:t>
      </w:r>
    </w:p>
    <w:sectPr>
      <w:footerReference w:type="default" r:id="rId3"/>
      <w:type w:val="nextPage"/>
      <w:pgSz w:w="11906" w:h="16838"/>
      <w:pgMar w:left="1304" w:right="567" w:gutter="0" w:header="0" w:top="567" w:footer="567" w:bottom="62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Базовый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0"/>
  </w:p>
</w:ftr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f32f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ий колонтитул Знак"/>
    <w:basedOn w:val="DefaultParagraphFont"/>
    <w:uiPriority w:val="99"/>
    <w:qFormat/>
    <w:rsid w:val="00b15827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b15827"/>
    <w:rPr>
      <w:rFonts w:ascii="Tahoma" w:hAnsi="Tahoma" w:cs="Tahoma"/>
      <w:sz w:val="16"/>
      <w:szCs w:val="16"/>
    </w:rPr>
  </w:style>
  <w:style w:type="character" w:styleId="Style16" w:customStyle="1">
    <w:name w:val="Основной текст Знак"/>
    <w:basedOn w:val="DefaultParagraphFont"/>
    <w:qFormat/>
    <w:rsid w:val="00de74ff"/>
    <w:rPr>
      <w:rFonts w:ascii="Calibri" w:hAnsi="Calibri" w:eastAsia="Calibri" w:cs="Times New Roman"/>
      <w:lang w:eastAsia="en-US"/>
    </w:rPr>
  </w:style>
  <w:style w:type="character" w:styleId="LineNumber">
    <w:name w:val="Line Number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6"/>
    <w:rsid w:val="00de74ff"/>
    <w:pPr>
      <w:spacing w:lineRule="auto" w:line="240" w:before="0" w:after="120"/>
      <w:jc w:val="center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b15827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>
    <w:name w:val="Колонтитул"/>
    <w:basedOn w:val="Normal"/>
    <w:qFormat/>
    <w:pPr/>
    <w:rPr/>
  </w:style>
  <w:style w:type="paragraph" w:styleId="Footer">
    <w:name w:val="Footer"/>
    <w:basedOn w:val="Normal"/>
    <w:link w:val="Style14"/>
    <w:uiPriority w:val="99"/>
    <w:unhideWhenUsed/>
    <w:rsid w:val="00b1582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b1582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1" w:customStyle="1">
    <w:name w:val="1"/>
    <w:qFormat/>
    <w:rsid w:val="00d0182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qFormat/>
    <w:rsid w:val="004b155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qFormat/>
    <w:rsid w:val="00f72a68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Standard" w:customStyle="1">
    <w:name w:val="Standard"/>
    <w:qFormat/>
    <w:rsid w:val="002f43e8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PlusNormal" w:customStyle="1">
    <w:name w:val="ConsPlusNormal"/>
    <w:qFormat/>
    <w:rsid w:val="006326a0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5EBEE-1494-408B-9B11-394C00929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4844</TotalTime>
  <Application>LibreOffice/7.6.0.3$Linux_X86_64 LibreOffice_project/60$Build-3</Application>
  <AppVersion>15.0000</AppVersion>
  <Pages>4</Pages>
  <Words>1235</Words>
  <Characters>9560</Characters>
  <CharactersWithSpaces>11116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2015-11-18T13:40:00Z</dcterms:created>
  <dc:creator>Суховеева</dc:creator>
  <dc:description/>
  <dc:language>ru-RU</dc:language>
  <cp:lastModifiedBy/>
  <cp:lastPrinted>2024-12-04T09:25:33Z</cp:lastPrinted>
  <dcterms:modified xsi:type="dcterms:W3CDTF">2024-12-04T09:33:28Z</dcterms:modified>
  <cp:revision>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