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vertAnchor="text" w:horzAnchor="text" w:leftFromText="180" w:rightFromText="180" w:tblpX="0" w:tblpY="1"/>
        <w:tblW w:w="988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672"/>
        <w:gridCol w:w="5216"/>
      </w:tblGrid>
      <w:tr>
        <w:trPr>
          <w:trHeight w:val="401" w:hRule="atLeast"/>
          <w:cantSplit w:val="true"/>
        </w:trPr>
        <w:tc>
          <w:tcPr>
            <w:tcW w:w="9888" w:type="dxa"/>
            <w:gridSpan w:val="2"/>
            <w:tcBorders/>
          </w:tcPr>
          <w:p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88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  <w:tr>
        <w:trPr/>
        <w:tc>
          <w:tcPr>
            <w:tcW w:w="4672" w:type="dxa"/>
            <w:tcBorders>
              <w:top w:val="thinThickSmallGap" w:sz="18" w:space="0" w:color="000000"/>
            </w:tcBorders>
          </w:tcPr>
          <w:p>
            <w:pPr>
              <w:pStyle w:val="12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  </w:t>
            </w:r>
            <w:r>
              <w:rPr>
                <w:color w:val="000000"/>
                <w:szCs w:val="24"/>
              </w:rPr>
              <w:t>№</w:t>
            </w:r>
            <w:r>
              <w:rPr>
                <w:color w:val="000000"/>
                <w:szCs w:val="24"/>
              </w:rPr>
              <w:t>22/689</w:t>
            </w:r>
          </w:p>
          <w:p>
            <w:pPr>
              <w:pStyle w:val="12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5216" w:type="dxa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                                                            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16.05.2025г.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Tempora LGC Uni" w:hAnsi="Tempora LGC Uni"/>
          <w:b/>
          <w:color w:val="000000"/>
          <w:sz w:val="26"/>
          <w:szCs w:val="26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empora LGC Uni" w:hAnsi="Tempora LGC Uni"/>
          <w:b/>
          <w:bCs/>
          <w:color w:val="000000"/>
          <w:sz w:val="26"/>
          <w:szCs w:val="26"/>
        </w:rPr>
        <w:t>по итогам финансово — экономической экспертизы проекта</w:t>
      </w:r>
    </w:p>
    <w:p>
      <w:pPr>
        <w:pStyle w:val="Normal"/>
        <w:tabs>
          <w:tab w:val="clear" w:pos="708"/>
          <w:tab w:val="left" w:pos="10065" w:leader="none"/>
        </w:tabs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04.10.2017г. №468 «Об утверждении 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муниципальной программы  Ленинского муниципального района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«Комплекс мер по созданию безопасных условий для обучающихся и воспитанников в образовательных организациях Ленинского муниципального района»</w:t>
      </w:r>
    </w:p>
    <w:p>
      <w:pPr>
        <w:pStyle w:val="Normal"/>
        <w:tabs>
          <w:tab w:val="clear" w:pos="708"/>
          <w:tab w:val="left" w:pos="10065" w:leader="none"/>
        </w:tabs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>(</w:t>
      </w:r>
      <w:r>
        <w:rPr>
          <w:rFonts w:cs="Times New Roman" w:ascii="Times New Roman" w:hAnsi="Times New Roman"/>
          <w:color w:val="000000"/>
          <w:sz w:val="26"/>
          <w:szCs w:val="26"/>
        </w:rPr>
        <w:t>в редакции постановлений от 04.04.2018 №168, от 08.05.2018 №226, от 06.07.2018 №406, от 28.09.2018 №578, от 30.11.2018 №682, от 29.12.2018 №731, от 16.01.2019 №17, от 29.03.2019 №128, от 28.06.2019 №307, от 17.07.2019 №346, от 15.08.2019 № 396, от 30.09.2019 №500, от 21.11.2019 №639, от 15.01.2020 №17, от 16.01.2020 №19, от 12.03.2020г. №109, от 15.04.2020 №172, от 07.05.2020 №215, от 10.06.2020 №258, от 30.12.2020г. №650, от 25.01.2021 №35, от 07.04.2021 №195, от 23.04.2021 №228, от 10.06.2021 №313, от 15.10.2021г. №538, от 17.12.2021г. №642, от 20.01.2022 №20, от 14.04.2022 №190, от 05.08.2022 №384, от 22.09.2022 №465, от 19.10.2022 №516, от 09.12.2022г. №621, от 27.01.2023 №29, от 03.05..2023 №186, от 14.07.2023 №327, от 27.12.2023 №600, от 07.05.2024 №187, от 28.08.2024 №357, от 26.12.2024 №580).</w:t>
      </w:r>
    </w:p>
    <w:p>
      <w:pPr>
        <w:pStyle w:val="Normal"/>
        <w:tabs>
          <w:tab w:val="clear" w:pos="708"/>
          <w:tab w:val="left" w:pos="10065" w:leader="none"/>
        </w:tabs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tabs>
          <w:tab w:val="clear" w:pos="708"/>
          <w:tab w:val="left" w:pos="10065" w:leader="none"/>
        </w:tabs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tabs>
          <w:tab w:val="clear" w:pos="708"/>
          <w:tab w:val="left" w:pos="10065" w:leader="none"/>
        </w:tabs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Times New Roman" w:hAnsi="Times New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, </w:t>
      </w:r>
      <w:r>
        <w:rPr>
          <w:rFonts w:cs="Times New Roman" w:ascii="Times New Roman" w:hAnsi="Times New Roman"/>
          <w:color w:val="000000"/>
          <w:sz w:val="26"/>
          <w:szCs w:val="26"/>
        </w:rPr>
        <w:t>плана работы Контрольно-счетной палаты Ленинского муниципального района на 2024 год и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>распоряжения  на проведение экспертизы №24-р от 14.05.2025г.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от 04.10.2017г. №468 «Об утверждении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>муниципальной программы «</w:t>
      </w:r>
      <w:r>
        <w:rPr>
          <w:rFonts w:cs="Times New Roman" w:ascii="Times New Roman" w:hAnsi="Times New Roman"/>
          <w:color w:val="000000"/>
          <w:sz w:val="26"/>
          <w:szCs w:val="26"/>
        </w:rPr>
        <w:t>Комплекс мер по созданию безопасных условий для обучающихся и воспитанников в образовательных организациях Ленинского муниципального района» (далее – проект Постановления).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>
        <w:rPr>
          <w:rFonts w:cs="Times New Roman" w:ascii="Times New Roman" w:hAnsi="Times New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муниципальную программу Ленинского муниципального района 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>«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(далее –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 ходе подготовки заключения был  проанализирован проект Постановления, направленный в Контрольно-счетную палату Отделом образования администрации Ленинского муниципального района, к которому также приложены: проект паспорта Программы, пояснительная записка к изменениям  в Программу.  З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амечания к проекту Постановления отсутствуют.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Согласно действующего паспорта Программы: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>Ответственным исполнителем Программы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является: Отдел образования  администрации Ленинского муниципального района.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>Соисполнителями Программы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являются 27 образовательных организаций Ленинского муниципального района и Отдел по культуре, молодежной политике, физической культуре и спорту администрации Ленинского муниципального района.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>Программа состоит из двух подпрограмм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: 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1.Укрепление пожарной безопасности в образовательных организациях</w:t>
      </w:r>
      <w:r>
        <w:rPr>
          <w:rFonts w:cs="Times New Roman" w:ascii="Times New Roman" w:hAnsi="Times New Roman"/>
          <w:iCs/>
          <w:color w:val="000000"/>
          <w:sz w:val="26"/>
          <w:szCs w:val="26"/>
        </w:rPr>
        <w:t>, ремонтно-восстановительные работы</w:t>
      </w:r>
      <w:r>
        <w:rPr>
          <w:rFonts w:cs="Times New Roman" w:ascii="Times New Roman" w:hAnsi="Times New Roman"/>
          <w:color w:val="000000"/>
          <w:sz w:val="26"/>
          <w:szCs w:val="26"/>
        </w:rPr>
        <w:t>;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2.Укрепление антитеррористической защищенности образовательных организаций.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Срок реализации Программы </w:t>
      </w:r>
      <w:r>
        <w:rPr>
          <w:rFonts w:cs="Times New Roman" w:ascii="Times New Roman" w:hAnsi="Times New Roman"/>
          <w:color w:val="000000"/>
          <w:sz w:val="26"/>
          <w:szCs w:val="26"/>
        </w:rPr>
        <w:t>в один этап   2018 – 2026 годы.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>Основными целями  Программы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является: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- обеспечение безопасности образовательного процесса, предотвращение пожаров и гибели людей на объектах </w:t>
      </w: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  <w:t>образовательных организаций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, создание необходимых условий для укрепления пожарной безопасности </w:t>
      </w: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  <w:t>образовательных организаций</w:t>
      </w:r>
      <w:r>
        <w:rPr>
          <w:rFonts w:cs="Times New Roman" w:ascii="Times New Roman" w:hAnsi="Times New Roman"/>
          <w:color w:val="000000"/>
          <w:sz w:val="26"/>
          <w:szCs w:val="26"/>
        </w:rPr>
        <w:t>, предупреждение и профилактика пожаров, обеспечение первичных мер пожарной безопасности в</w:t>
      </w: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  <w:t xml:space="preserve"> образовательных организациях</w:t>
      </w:r>
      <w:r>
        <w:rPr>
          <w:rFonts w:cs="Times New Roman" w:ascii="Times New Roman" w:hAnsi="Times New Roman"/>
          <w:color w:val="000000"/>
          <w:sz w:val="26"/>
          <w:szCs w:val="26"/>
        </w:rPr>
        <w:t>, совершенствование организации  тушения пожаров;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повышение безопасности образовательных организаций, снижение риска возникновения изношенности зданий и прилегающих к ним территорий, обеспечение их сохранности и долговечности, недопущение преждевременного физического износа;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усиление антитеррористической  защищенности объектов  образования, обеспечение безопасности образовательного процесса.</w:t>
      </w:r>
    </w:p>
    <w:p>
      <w:pPr>
        <w:pStyle w:val="ListParagraph"/>
        <w:ind w:firstLine="218" w:left="142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ab/>
      </w:r>
      <w:r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t>Основными задачами Программы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, для достижения поставленных целей, являются: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- обеспечение пожарной безопасности зданий, сооружений </w:t>
      </w: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  <w:t>образовательных организаций на основе использования современных достижений науки и техники в данной области, оснащение новыми средствами пожаротушения образовательных организаций, ремонтно-восстановительные работы;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  <w:t>- развитие материально-технической базы и их приведение в соответствие с требованиями Федерального закона от 06.03.2006 №35-ФЗ «О противодействии терроризму».</w:t>
      </w:r>
    </w:p>
    <w:p>
      <w:pPr>
        <w:pStyle w:val="21"/>
        <w:shd w:val="clear" w:color="auto" w:fill="auto"/>
        <w:tabs>
          <w:tab w:val="clear" w:pos="708"/>
          <w:tab w:val="left" w:pos="736" w:leader="none"/>
        </w:tabs>
        <w:spacing w:lineRule="auto" w:line="240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5"/>
          <w:szCs w:val="25"/>
        </w:rPr>
        <w:tab/>
      </w:r>
      <w:r>
        <w:rPr>
          <w:rFonts w:cs="Times New Roman" w:ascii="Times New Roman" w:hAnsi="Times New Roman"/>
          <w:b/>
          <w:color w:val="000000"/>
          <w:sz w:val="25"/>
          <w:szCs w:val="25"/>
        </w:rPr>
        <w:t xml:space="preserve">Согласно письма и </w:t>
      </w:r>
      <w:r>
        <w:rPr>
          <w:rFonts w:eastAsia="Times New Roman" w:cs="Times New Roman" w:ascii="Times New Roman" w:hAnsi="Times New Roman"/>
          <w:b/>
          <w:color w:val="000000"/>
          <w:sz w:val="25"/>
          <w:szCs w:val="25"/>
        </w:rPr>
        <w:t xml:space="preserve">пояснительной записке </w:t>
      </w:r>
      <w:r>
        <w:rPr>
          <w:rFonts w:eastAsia="Times New Roman" w:cs="Times New Roman" w:ascii="Times New Roman" w:hAnsi="Times New Roman"/>
          <w:color w:val="000000"/>
          <w:sz w:val="25"/>
          <w:szCs w:val="25"/>
        </w:rPr>
        <w:t>изменения в Программу вносятся в связи с решением Ленинской районной Думы от 28.03.2025г. №6/17 «О внесении изменений в решение Ленинской районной Думы Волгоградской области от 12.12.2024г. №16/69 «О бюджете Ленинского муниципального района на 2025 год и на плановый период 2026 и 2027 годов».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На основании вышеназванного решения Ленинской районной Думы изменения вносятся в объем финансирования Программы, а именно в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позицию паспорта Программы «Объемы и источники финансирования Программы (подпрограммы)»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и в текстовую часть паспорта Программы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раздел 5 «Обоснование объема финансовых ресурсов, необходимых для реализации муниципальной программы» и в 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».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Объем финансирования действующей Программы составляет 57110,39 тыс. руб.,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в том числе: средства федерального бюджета 1301,20 тыс. руб., средства областного бюджета в размере 13567,17 тыс. руб., средства бюджета района 42242,02 тыс. руб.</w:t>
      </w:r>
    </w:p>
    <w:p>
      <w:pPr>
        <w:pStyle w:val="NoSpacing"/>
        <w:ind w:firstLine="709"/>
        <w:jc w:val="both"/>
        <w:rPr>
          <w:color w:val="000000"/>
        </w:rPr>
      </w:pP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Предлагаемым проектом, вносятся изменения в объем финансирования Программы, который  составит 68113,37 тыс. руб., из них средства федерального бюджета 1301,20 тыс. руб., средства областного бюджета в размере 13567,17 тыс. руб., средства бюджета района 53245,0 тыс. руб., в том числе по годам:</w:t>
      </w:r>
    </w:p>
    <w:p>
      <w:pPr>
        <w:pStyle w:val="NoSpacing"/>
        <w:jc w:val="both"/>
        <w:rPr>
          <w:color w:val="000000"/>
        </w:rPr>
      </w:pPr>
      <w:r>
        <w:rPr>
          <w:color w:val="000000"/>
          <w:sz w:val="26"/>
          <w:szCs w:val="26"/>
        </w:rPr>
        <w:t xml:space="preserve">        </w:t>
      </w:r>
      <w:r>
        <w:rPr>
          <w:color w:val="000000"/>
          <w:sz w:val="26"/>
          <w:szCs w:val="26"/>
        </w:rPr>
        <w:t>2018 год  4153,85 тыс. руб., из них 0,630 тыс. руб. кредиторская задолженность;</w:t>
      </w:r>
    </w:p>
    <w:p>
      <w:pPr>
        <w:pStyle w:val="NoSpacing"/>
        <w:tabs>
          <w:tab w:val="clear" w:pos="708"/>
          <w:tab w:val="left" w:pos="426" w:leader="none"/>
        </w:tabs>
        <w:jc w:val="both"/>
        <w:rPr>
          <w:color w:val="000000"/>
        </w:rPr>
      </w:pPr>
      <w:r>
        <w:rPr>
          <w:color w:val="000000"/>
          <w:sz w:val="26"/>
          <w:szCs w:val="26"/>
        </w:rPr>
        <w:tab/>
        <w:t xml:space="preserve">  2019 год  3021,26 тыс. руб.;</w:t>
        <w:tab/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        </w:t>
      </w:r>
      <w:r>
        <w:rPr>
          <w:rFonts w:cs="Times New Roman" w:ascii="Times New Roman" w:hAnsi="Times New Roman"/>
          <w:color w:val="000000"/>
          <w:sz w:val="26"/>
          <w:szCs w:val="26"/>
        </w:rPr>
        <w:t>2020 год  4729,39 тыс. руб., в т.ч. 2,16 тыс. руб. кредиторская задолженность за 2019 год;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        </w:t>
      </w:r>
      <w:r>
        <w:rPr>
          <w:rFonts w:cs="Times New Roman" w:ascii="Times New Roman" w:hAnsi="Times New Roman"/>
          <w:color w:val="000000"/>
          <w:sz w:val="26"/>
          <w:szCs w:val="26"/>
        </w:rPr>
        <w:t>2021 год  13693,51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        </w:t>
      </w:r>
      <w:r>
        <w:rPr>
          <w:rFonts w:cs="Times New Roman" w:ascii="Times New Roman" w:hAnsi="Times New Roman"/>
          <w:color w:val="000000"/>
          <w:sz w:val="26"/>
          <w:szCs w:val="26"/>
        </w:rPr>
        <w:t>2022 год  6154,19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        </w:t>
      </w:r>
      <w:r>
        <w:rPr>
          <w:rFonts w:cs="Times New Roman" w:ascii="Times New Roman" w:hAnsi="Times New Roman"/>
          <w:color w:val="000000"/>
          <w:sz w:val="26"/>
          <w:szCs w:val="26"/>
        </w:rPr>
        <w:t>2023 год  8429,09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        </w:t>
      </w:r>
      <w:r>
        <w:rPr>
          <w:rFonts w:cs="Times New Roman" w:ascii="Times New Roman" w:hAnsi="Times New Roman"/>
          <w:color w:val="000000"/>
          <w:sz w:val="26"/>
          <w:szCs w:val="26"/>
        </w:rPr>
        <w:t>2024 год  8416,11 тыс. руб.;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  <w:t>2025 год 6547,53 тыс.руб.;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  <w:t>2026 год 6065,89 тыс. руб.;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  <w:t>2027 год 6902,55 тыс. руб.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Таким образом, предлагаемым проектом предусмотрено увеличение финансирования на реализацию Программы на сумму 11002,98 тыс. руб. за счет средств бюджета района.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В раздел 5 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  <w:lang w:val="ru-RU"/>
        </w:rPr>
        <w:t xml:space="preserve">«Обоснование объема финансовых ресурсов, необходимых для реализации муниципальной программы»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  <w:lang w:val="ru-RU"/>
        </w:rPr>
        <w:t xml:space="preserve">также 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  <w:lang w:val="ru-RU"/>
        </w:rPr>
        <w:t xml:space="preserve">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  <w:lang w:val="ru-RU"/>
        </w:rPr>
        <w:t xml:space="preserve">внесены изменения в общий объем налоговых расходов Ленинского муниципального района в рамках муниципальной программы на 2021-2027 годы (добавлен 2027 год).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В связи с изменением объема финансирования вносятся изменения в целевые показатели в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 xml:space="preserve">раздел 3 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>текстовой части паспорта Программы «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Целевые показатели муниципальной программы, ожидаемые конечные результаты реализации муниципальной программы»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, </w:t>
      </w:r>
      <w:r>
        <w:rPr>
          <w:rFonts w:ascii="Tempora LGC Uni" w:hAnsi="Tempora LGC Uni"/>
          <w:color w:val="000000"/>
          <w:sz w:val="26"/>
          <w:szCs w:val="26"/>
        </w:rPr>
        <w:t>где отдельные целевые показатели изменены  в сторону увеличения на последний год реализации Программы.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eastAsia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Изменение срока реализации Программы до 2027 года внесено в </w:t>
      </w:r>
      <w:r>
        <w:rPr>
          <w:rFonts w:eastAsia="Times New Roman" w:ascii="Tempora LGC Uni" w:hAnsi="Tempora LGC Uni"/>
          <w:b/>
          <w:bCs/>
          <w:color w:val="000000"/>
          <w:sz w:val="26"/>
          <w:szCs w:val="26"/>
        </w:rPr>
        <w:t xml:space="preserve">позицию  паспорта Программы  «Сроки и этапы реализации Программы (подпрограммы)» </w:t>
      </w:r>
      <w:r>
        <w:rPr>
          <w:rFonts w:eastAsia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и в текстовую часть паспорта Программы </w:t>
      </w:r>
      <w:r>
        <w:rPr>
          <w:rFonts w:eastAsia="Times New Roman" w:ascii="Tempora LGC Uni" w:hAnsi="Tempora LGC Uni"/>
          <w:b/>
          <w:bCs/>
          <w:color w:val="000000"/>
          <w:sz w:val="26"/>
          <w:szCs w:val="26"/>
        </w:rPr>
        <w:t>раздел 2 «Цели, задачи, сроки и этапы реализации муниципальной программы».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Spacing"/>
        <w:ind w:firstLine="709"/>
        <w:jc w:val="both"/>
        <w:rPr>
          <w:color w:val="000000"/>
        </w:rPr>
      </w:pPr>
      <w:r>
        <w:rPr>
          <w:b/>
          <w:color w:val="000000"/>
          <w:sz w:val="26"/>
          <w:szCs w:val="26"/>
          <w:u w:val="single"/>
        </w:rPr>
        <w:t>Вывод:</w:t>
      </w:r>
    </w:p>
    <w:p>
      <w:pPr>
        <w:pStyle w:val="Normal"/>
        <w:spacing w:lineRule="auto" w:line="240" w:before="0" w:after="0"/>
        <w:ind w:firstLine="993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По результату экспертизы проекта постановления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 №468 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«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муниципального района»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Контрольно-счетная палата Ленинского муниципального района считает </w:t>
      </w:r>
      <w:r>
        <w:rPr>
          <w:rFonts w:cs="Times New Roman" w:ascii="Times New Roman" w:hAnsi="Times New Roman"/>
          <w:color w:val="000000"/>
          <w:sz w:val="26"/>
          <w:szCs w:val="26"/>
        </w:rPr>
        <w:t>возможным к утверждению в предлагаемой редакции.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  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Председатель Контрольно-счетной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района                                                                                                                 Т.В.Мололкина</w:t>
      </w:r>
    </w:p>
    <w:sectPr>
      <w:footerReference w:type="default" r:id="rId3"/>
      <w:type w:val="nextPage"/>
      <w:pgSz w:w="11906" w:h="16838"/>
      <w:pgMar w:left="1304" w:right="624" w:gutter="0" w:header="0" w:top="567" w:footer="567" w:bottom="1119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0" w:name="PageNumWizard_FOOTER_Базовый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bookmarkEnd w:id="0"/>
  </w:p>
</w:ftr>
</file>

<file path=word/settings.xml><?xml version="1.0" encoding="utf-8"?>
<w:settings xmlns:w="http://schemas.openxmlformats.org/wordprocessingml/2006/main">
  <w:zoom w:percent="69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5294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e32046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link w:val="2"/>
    <w:uiPriority w:val="9"/>
    <w:qFormat/>
    <w:rsid w:val="00061807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Текст выноски Знак"/>
    <w:basedOn w:val="DefaultParagraphFont"/>
    <w:link w:val="BalloonText"/>
    <w:uiPriority w:val="99"/>
    <w:semiHidden/>
    <w:qFormat/>
    <w:rsid w:val="007e6958"/>
    <w:rPr>
      <w:rFonts w:ascii="Tahoma" w:hAnsi="Tahoma" w:cs="Tahoma"/>
      <w:sz w:val="16"/>
      <w:szCs w:val="16"/>
    </w:rPr>
  </w:style>
  <w:style w:type="character" w:styleId="Style13" w:customStyle="1">
    <w:name w:val="Верхний колонтитул Знак"/>
    <w:basedOn w:val="DefaultParagraphFont"/>
    <w:uiPriority w:val="99"/>
    <w:semiHidden/>
    <w:qFormat/>
    <w:rsid w:val="00095b96"/>
    <w:rPr/>
  </w:style>
  <w:style w:type="character" w:styleId="Style14" w:customStyle="1">
    <w:name w:val="Нижний колонтитул Знак"/>
    <w:basedOn w:val="DefaultParagraphFont"/>
    <w:uiPriority w:val="99"/>
    <w:qFormat/>
    <w:rsid w:val="00095b96"/>
    <w:rPr/>
  </w:style>
  <w:style w:type="character" w:styleId="Style15" w:customStyle="1">
    <w:name w:val="Основной текст Знак"/>
    <w:basedOn w:val="DefaultParagraphFont"/>
    <w:qFormat/>
    <w:rsid w:val="00a536ba"/>
    <w:rPr>
      <w:rFonts w:ascii="Calibri" w:hAnsi="Calibri" w:eastAsia="Calibri" w:cs="Times New Roman"/>
      <w:lang w:eastAsia="en-US"/>
    </w:rPr>
  </w:style>
  <w:style w:type="character" w:styleId="Style16" w:customStyle="1">
    <w:name w:val="Основной текст с отступом Знак"/>
    <w:basedOn w:val="DefaultParagraphFont"/>
    <w:uiPriority w:val="99"/>
    <w:qFormat/>
    <w:rsid w:val="006f348d"/>
    <w:rPr/>
  </w:style>
  <w:style w:type="character" w:styleId="2" w:customStyle="1">
    <w:name w:val="Заголовок 2 Знак"/>
    <w:basedOn w:val="DefaultParagraphFont"/>
    <w:uiPriority w:val="9"/>
    <w:qFormat/>
    <w:rsid w:val="00061807"/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061807"/>
    <w:rPr>
      <w:strike w:val="false"/>
      <w:dstrike w:val="false"/>
      <w:color w:val="005BD1"/>
      <w:u w:val="none"/>
      <w:effect w:val="none"/>
      <w:shd w:fill="auto" w:val="clear"/>
    </w:rPr>
  </w:style>
  <w:style w:type="character" w:styleId="Valignmiddle" w:customStyle="1">
    <w:name w:val="valign_middle"/>
    <w:basedOn w:val="DefaultParagraphFont"/>
    <w:qFormat/>
    <w:rsid w:val="00061807"/>
    <w:rPr/>
  </w:style>
  <w:style w:type="character" w:styleId="Linktext10" w:customStyle="1">
    <w:name w:val="link__text10"/>
    <w:basedOn w:val="DefaultParagraphFont"/>
    <w:qFormat/>
    <w:rsid w:val="00061807"/>
    <w:rPr/>
  </w:style>
  <w:style w:type="character" w:styleId="1" w:customStyle="1">
    <w:name w:val="Заголовок 1 Знак"/>
    <w:basedOn w:val="DefaultParagraphFont"/>
    <w:uiPriority w:val="9"/>
    <w:qFormat/>
    <w:rsid w:val="00e32046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5"/>
    <w:rsid w:val="00a536ba"/>
    <w:pPr>
      <w:spacing w:lineRule="auto" w:line="240" w:before="0" w:after="120"/>
      <w:jc w:val="center"/>
    </w:pPr>
    <w:rPr>
      <w:rFonts w:ascii="Calibri" w:hAnsi="Calibri" w:eastAsia="Calibri" w:cs="Times New Roman"/>
      <w:lang w:eastAsia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2"/>
    <w:uiPriority w:val="99"/>
    <w:semiHidden/>
    <w:unhideWhenUsed/>
    <w:qFormat/>
    <w:rsid w:val="007e695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1" w:customStyle="1">
    <w:name w:val="Обычный1"/>
    <w:qFormat/>
    <w:rsid w:val="007e6958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9">
    <w:name w:val="Колонтитул"/>
    <w:basedOn w:val="Normal"/>
    <w:qFormat/>
    <w:pPr/>
    <w:rPr/>
  </w:style>
  <w:style w:type="paragraph" w:styleId="Header">
    <w:name w:val="Header"/>
    <w:basedOn w:val="Normal"/>
    <w:link w:val="Style13"/>
    <w:uiPriority w:val="99"/>
    <w:semiHidden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4"/>
    <w:uiPriority w:val="99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Normal" w:customStyle="1">
    <w:name w:val="ConsPlusNormal"/>
    <w:qFormat/>
    <w:rsid w:val="000c2ec5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ConsPlusCell" w:customStyle="1">
    <w:name w:val="ConsPlusCell"/>
    <w:uiPriority w:val="99"/>
    <w:qFormat/>
    <w:rsid w:val="006b218e"/>
    <w:pPr>
      <w:widowControl w:val="false"/>
      <w:suppressAutoHyphens w:val="true"/>
      <w:bidi w:val="0"/>
      <w:spacing w:lineRule="auto" w:line="240" w:before="0" w:after="0"/>
      <w:jc w:val="left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12" w:customStyle="1">
    <w:name w:val="1"/>
    <w:qFormat/>
    <w:rsid w:val="00565ab2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uiPriority w:val="99"/>
    <w:qFormat/>
    <w:rsid w:val="000b30d8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9031c7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Standard" w:customStyle="1">
    <w:name w:val="Standard"/>
    <w:qFormat/>
    <w:rsid w:val="001d07a2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ru-RU" w:bidi="ar-SA"/>
    </w:rPr>
  </w:style>
  <w:style w:type="paragraph" w:styleId="BodyTextIndent">
    <w:name w:val="Body Text Indent"/>
    <w:basedOn w:val="Normal"/>
    <w:link w:val="Style16"/>
    <w:uiPriority w:val="99"/>
    <w:unhideWhenUsed/>
    <w:rsid w:val="006f348d"/>
    <w:pPr>
      <w:spacing w:before="0" w:after="120"/>
      <w:ind w:left="283"/>
    </w:pPr>
    <w:rPr/>
  </w:style>
  <w:style w:type="paragraph" w:styleId="NormalWeb">
    <w:name w:val="Normal (Web)"/>
    <w:basedOn w:val="Normal"/>
    <w:uiPriority w:val="99"/>
    <w:semiHidden/>
    <w:unhideWhenUsed/>
    <w:qFormat/>
    <w:rsid w:val="0006180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20">
    <w:name w:val="Содержимое врезки"/>
    <w:basedOn w:val="Normal"/>
    <w:qFormat/>
    <w:pPr/>
    <w:rPr/>
  </w:style>
  <w:style w:type="paragraph" w:styleId="21">
    <w:name w:val="Основной текст (2)"/>
    <w:basedOn w:val="Normal"/>
    <w:qFormat/>
    <w:pPr>
      <w:widowControl w:val="false"/>
      <w:shd w:val="clear" w:color="auto" w:fill="FFFFFF"/>
      <w:spacing w:lineRule="exact" w:line="320" w:before="0" w:after="0"/>
      <w:jc w:val="center"/>
    </w:pPr>
    <w:rPr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88C62-DF2A-4B07-BF14-BB15BACF3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7700</TotalTime>
  <Application>LibreOffice/7.6.0.3$Linux_X86_64 LibreOffice_project/60$Build-3</Application>
  <AppVersion>15.0000</AppVersion>
  <Pages>4</Pages>
  <Words>1210</Words>
  <Characters>9227</Characters>
  <CharactersWithSpaces>10668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2016-12-22T13:47:00Z</dcterms:created>
  <dc:creator>Мололкина</dc:creator>
  <dc:description/>
  <dc:language>ru-RU</dc:language>
  <cp:lastModifiedBy/>
  <cp:lastPrinted>2025-05-22T14:47:16Z</cp:lastPrinted>
  <dcterms:modified xsi:type="dcterms:W3CDTF">2025-05-22T14:48:39Z</dcterms:modified>
  <cp:revision>181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