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№ </w:t>
            </w:r>
            <w:r>
              <w:rPr>
                <w:color w:val="000000"/>
                <w:sz w:val="26"/>
                <w:szCs w:val="26"/>
              </w:rPr>
              <w:t>34/702</w:t>
            </w:r>
          </w:p>
          <w:p>
            <w:pPr>
              <w:pStyle w:val="11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  <w:p>
            <w:pPr>
              <w:pStyle w:val="11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  <w:t xml:space="preserve">                                          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  <w:t>12.08.2025г.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iCs/>
          <w:color w:val="3465A4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Cs/>
          <w:color w:val="3465A4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3465A4"/>
        </w:rPr>
      </w:pPr>
      <w:r>
        <w:rPr>
          <w:color w:val="3465A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>Аналитическая  записка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>на отчет об исполнении бюджета Ленинского муниципального района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>за 1 полугодие 2025 года.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 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>
        <w:rPr>
          <w:rFonts w:eastAsia="Times New Roman" w:cs="Times New Roman" w:ascii="Times New Roman" w:hAnsi="Times New Roman"/>
          <w:bCs/>
          <w:iCs/>
          <w:color w:val="000000"/>
          <w:sz w:val="26"/>
          <w:szCs w:val="26"/>
        </w:rPr>
        <w:t xml:space="preserve">1 полугодие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2025 года (далее - отчет) утвержден  постановлением Администрации Ленинского муниципального района от 25.07.2025 №404 и представлен в Контрольно-счетную палату Ленинского муниципального района 28.07.2025г., 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утвержденного решением Ленинской  районной Думы от 16.06.2023 года №8/31 (далее - Положения о бюджетном процессе).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Контрольно-счетная палата отмечает, что постановление  Администрации Ленинского муниципального района от 25.07.2025 №404 звучит «Об исполнении бюджета Ленинского муниципального района за II квартал 2025 года», тогда как  в соответствии с п.8.2  раздела 8 Положения о бюджетном процессе отчет об исполнении бюджета утверждается за полугодие.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решении о местном бюджете распределение доходов и расходов поквартально не предусмотрено, в этой связи в представленной Администрацией Ленинского муниципального района информации оценка исполнения бюджета за 1 полугодие текущего года произведена относительно утвержденных годовых бюджетных назначений.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Аналитическое мероприятие проведено в соответствии с планом работы на 2025 год и распоряжения на проведение мероприятия от 05.08.2025г. №36-р.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iCs/>
          <w:color w:val="000000"/>
          <w:sz w:val="26"/>
          <w:szCs w:val="26"/>
        </w:rPr>
        <w:t xml:space="preserve">1. Общая характеристика исполнения бюджета района </w:t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rFonts w:eastAsia="Times New Roman" w:cs="Times New Roman" w:ascii="Times New Roman" w:hAnsi="Times New Roman"/>
          <w:b/>
          <w:iCs/>
          <w:color w:val="000000"/>
          <w:sz w:val="26"/>
          <w:szCs w:val="26"/>
        </w:rPr>
        <w:t xml:space="preserve">                                        </w:t>
      </w:r>
      <w:r>
        <w:rPr>
          <w:rFonts w:eastAsia="Times New Roman" w:cs="Times New Roman" w:ascii="Times New Roman" w:hAnsi="Times New Roman"/>
          <w:b/>
          <w:iCs/>
          <w:color w:val="000000"/>
          <w:sz w:val="26"/>
          <w:szCs w:val="26"/>
        </w:rPr>
        <w:t>за 1 полугодие 2025 года.</w:t>
      </w:r>
    </w:p>
    <w:p>
      <w:pPr>
        <w:pStyle w:val="Normal"/>
        <w:spacing w:lineRule="auto" w:line="240" w:before="0" w:after="0"/>
        <w:ind w:left="720"/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Решением Ленинской районной Думы от 12.12.2024г. №16/69 «О бюджете Ленинского муниципального района  на 2025 год и на плановый период 2026 и 2027 годов» утверждены основные характеристики бюджета Ленинского муниципального района  на 2025 год: 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общий объем доходов в сумме 864793,11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общий объем расходов в сумме 864793,11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дефицит бюджета в сумме 0,0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</w:rPr>
        <w:t xml:space="preserve"> тыс. руб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За 1 полугодие текущего года в вышеназванное решение вносились изменения в основные характеристики бюджета, в том числе: доходная часть бюджета увеличена на 66796,66 тыс. руб. или на 7,7%  и составила 931589,77 тыс. руб., расходная часть  бюджета увеличена на 107118,88 тыс. руб. или на 12,4%  и составила 971911,99 тыс. руб. Дефицит бюджета составил 40322,22 тыс. руб.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Исполнение бюджета района за 1 полугодие текущего года по доходам и расходам, согласно отчету, представлено в таблице в сравнении с аналогичным периодом прошлого года (тыс. руб.):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color w:val="000000"/>
        </w:rPr>
      </w:r>
    </w:p>
    <w:tbl>
      <w:tblPr>
        <w:tblW w:w="9702" w:type="dxa"/>
        <w:jc w:val="left"/>
        <w:tblInd w:w="-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18"/>
        <w:gridCol w:w="1187"/>
        <w:gridCol w:w="1254"/>
        <w:gridCol w:w="1077"/>
        <w:gridCol w:w="1132"/>
        <w:gridCol w:w="881"/>
        <w:gridCol w:w="1252"/>
      </w:tblGrid>
      <w:tr>
        <w:trPr>
          <w:trHeight w:val="941" w:hRule="atLeast"/>
        </w:trPr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Статьи доходов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Исполнено за 1 полугодие 2024 г.</w:t>
            </w:r>
          </w:p>
        </w:tc>
        <w:tc>
          <w:tcPr>
            <w:tcW w:w="1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Утвержден. план  на  2025 год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Исполнено за 1 полугодие 2025 г.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Рост, снижение к 2024 году (+,-)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% к 2024 г. (рост, сниж)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% исполнения к утвержден плану</w:t>
            </w:r>
          </w:p>
        </w:tc>
      </w:tr>
      <w:tr>
        <w:trPr>
          <w:trHeight w:val="361" w:hRule="atLeast"/>
        </w:trPr>
        <w:tc>
          <w:tcPr>
            <w:tcW w:w="29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Доходы, в том числе:</w:t>
            </w:r>
          </w:p>
        </w:tc>
        <w:tc>
          <w:tcPr>
            <w:tcW w:w="118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360479,51</w:t>
            </w:r>
          </w:p>
        </w:tc>
        <w:tc>
          <w:tcPr>
            <w:tcW w:w="125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931589,77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376086,98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15607,47</w:t>
            </w:r>
          </w:p>
        </w:tc>
        <w:tc>
          <w:tcPr>
            <w:tcW w:w="88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12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40,37</w:t>
            </w:r>
          </w:p>
        </w:tc>
      </w:tr>
      <w:tr>
        <w:trPr>
          <w:trHeight w:val="341" w:hRule="atLeast"/>
        </w:trPr>
        <w:tc>
          <w:tcPr>
            <w:tcW w:w="29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i/>
                <w:color w:val="000000"/>
                <w:sz w:val="20"/>
                <w:szCs w:val="20"/>
              </w:rPr>
              <w:t>1. Собственные доходы, в т.ч.</w:t>
            </w:r>
          </w:p>
        </w:tc>
        <w:tc>
          <w:tcPr>
            <w:tcW w:w="118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93501,85</w:t>
            </w:r>
          </w:p>
        </w:tc>
        <w:tc>
          <w:tcPr>
            <w:tcW w:w="125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244732,34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107619,67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14117,82</w:t>
            </w:r>
          </w:p>
        </w:tc>
        <w:tc>
          <w:tcPr>
            <w:tcW w:w="88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12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43,97</w:t>
            </w:r>
          </w:p>
        </w:tc>
      </w:tr>
      <w:tr>
        <w:trPr>
          <w:trHeight w:val="396" w:hRule="atLeast"/>
        </w:trPr>
        <w:tc>
          <w:tcPr>
            <w:tcW w:w="29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1.1.Налоговые доходы</w:t>
            </w:r>
          </w:p>
        </w:tc>
        <w:tc>
          <w:tcPr>
            <w:tcW w:w="118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83269,73</w:t>
            </w:r>
          </w:p>
        </w:tc>
        <w:tc>
          <w:tcPr>
            <w:tcW w:w="125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222834,51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97510,49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14240,76</w:t>
            </w:r>
          </w:p>
        </w:tc>
        <w:tc>
          <w:tcPr>
            <w:tcW w:w="88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12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43,76</w:t>
            </w:r>
          </w:p>
        </w:tc>
      </w:tr>
      <w:tr>
        <w:trPr>
          <w:trHeight w:val="341" w:hRule="atLeast"/>
        </w:trPr>
        <w:tc>
          <w:tcPr>
            <w:tcW w:w="29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1.2. Неналоговые доходы</w:t>
            </w:r>
          </w:p>
        </w:tc>
        <w:tc>
          <w:tcPr>
            <w:tcW w:w="118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10232,12</w:t>
            </w:r>
          </w:p>
        </w:tc>
        <w:tc>
          <w:tcPr>
            <w:tcW w:w="125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21897,83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10109,18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-122,94</w:t>
            </w:r>
          </w:p>
        </w:tc>
        <w:tc>
          <w:tcPr>
            <w:tcW w:w="88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-1,20</w:t>
            </w:r>
          </w:p>
        </w:tc>
        <w:tc>
          <w:tcPr>
            <w:tcW w:w="12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46,17</w:t>
            </w:r>
          </w:p>
        </w:tc>
      </w:tr>
      <w:tr>
        <w:trPr>
          <w:trHeight w:val="395" w:hRule="atLeast"/>
        </w:trPr>
        <w:tc>
          <w:tcPr>
            <w:tcW w:w="29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i/>
                <w:color w:val="000000"/>
                <w:sz w:val="20"/>
                <w:szCs w:val="20"/>
              </w:rPr>
              <w:t>2.Безвозмездные поступления</w:t>
            </w:r>
          </w:p>
        </w:tc>
        <w:tc>
          <w:tcPr>
            <w:tcW w:w="118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266977,66</w:t>
            </w:r>
          </w:p>
        </w:tc>
        <w:tc>
          <w:tcPr>
            <w:tcW w:w="125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686857,43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268467,31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1489,65</w:t>
            </w:r>
          </w:p>
        </w:tc>
        <w:tc>
          <w:tcPr>
            <w:tcW w:w="88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2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39,09</w:t>
            </w:r>
          </w:p>
        </w:tc>
      </w:tr>
      <w:tr>
        <w:trPr>
          <w:trHeight w:val="405" w:hRule="atLeast"/>
        </w:trPr>
        <w:tc>
          <w:tcPr>
            <w:tcW w:w="29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118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341666,10</w:t>
            </w:r>
          </w:p>
        </w:tc>
        <w:tc>
          <w:tcPr>
            <w:tcW w:w="125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971911,99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370245,99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28579,89</w:t>
            </w:r>
          </w:p>
        </w:tc>
        <w:tc>
          <w:tcPr>
            <w:tcW w:w="88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12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38,09</w:t>
            </w:r>
          </w:p>
        </w:tc>
      </w:tr>
      <w:tr>
        <w:trPr>
          <w:trHeight w:val="386" w:hRule="atLeast"/>
        </w:trPr>
        <w:tc>
          <w:tcPr>
            <w:tcW w:w="29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Дефицит (-), профицит (+)</w:t>
            </w:r>
          </w:p>
        </w:tc>
        <w:tc>
          <w:tcPr>
            <w:tcW w:w="118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18813,41</w:t>
            </w:r>
          </w:p>
        </w:tc>
        <w:tc>
          <w:tcPr>
            <w:tcW w:w="125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-40322,22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5840,99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-12972,42</w:t>
            </w:r>
          </w:p>
        </w:tc>
        <w:tc>
          <w:tcPr>
            <w:tcW w:w="88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-68,95</w:t>
            </w:r>
          </w:p>
        </w:tc>
        <w:tc>
          <w:tcPr>
            <w:tcW w:w="12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-14,49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Как видно, из таблицы сумма поступлений в доходную часть бюджета за 1 полугодие 2025 года составила 376086,98 тыс. руб. или 40,37 % от годовых прогнозных назначений, что на 15607,47 тыс. руб. или на 4,33 % выше соответствующего показателя 2024 года.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Исполнение бюджета района по расходам за 1 полугодие 2025 года составило 370245,99 тыс. руб. или 38,09 % от годовых прогнозных назначений, по сравнению с аналогичным периодом 2024 года расходы увеличилось на 28579,89 тыс. руб. или на 8,36%.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Бюджет Ленинского муниципального района за 1 полугодие 2025 года исполнен с профицитом в сумме 5840,99 тыс. руб., за аналогичный период прошлого года профицит  составлял 18813,41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Cs/>
          <w:i/>
          <w:i/>
          <w:iCs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360"/>
        <w:contextualSpacing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  <w:t xml:space="preserve">2. Исполнение бюджета Ленинского муниципального района по доходам 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360"/>
        <w:contextualSpacing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  <w:t>за 1 полугодие 2025 года.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360"/>
        <w:contextualSpacing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 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Основными источниками формирования доходной части районного бюджета за 1 полугодие 2025 года  являются: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u w:val="single"/>
        </w:rPr>
        <w:t>налоговые доходы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(налог на доходы физических лиц, налоги на товары (работы, услуги), реализуемые на территории РФ (акцизы), налоги на совокупный доход, государственная пошлина);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u w:val="single"/>
        </w:rPr>
        <w:t>неналоговые доходы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(доходы от использования имущества, находящегося в государственной и муниципальной собственности, доходы от оказания платных услуг и компенсации затрат государства, доходы от продажи материальных и нематериальных активов, штрафы);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u w:val="single"/>
        </w:rPr>
        <w:t>безвозмездные  поступления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Динамика и структура исполнения бюджета Ленинского муниципального района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u w:val="single"/>
        </w:rPr>
        <w:t>по доходам за 1 полугодие 2025 года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и аналогичный период предыдущего 2024 года отражены в таблице (тыс. руб.):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tbl>
      <w:tblPr>
        <w:tblW w:w="9668" w:type="dxa"/>
        <w:jc w:val="left"/>
        <w:tblInd w:w="-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25"/>
        <w:gridCol w:w="1189"/>
        <w:gridCol w:w="1022"/>
        <w:gridCol w:w="790"/>
        <w:gridCol w:w="860"/>
        <w:gridCol w:w="1131"/>
        <w:gridCol w:w="1024"/>
        <w:gridCol w:w="668"/>
        <w:gridCol w:w="858"/>
      </w:tblGrid>
      <w:tr>
        <w:trPr>
          <w:trHeight w:val="300" w:hRule="atLeast"/>
        </w:trPr>
        <w:tc>
          <w:tcPr>
            <w:tcW w:w="2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eastAsia="Times New Roman" w:cs="Times New Roman" w:ascii="Nimbus Roman" w:hAnsi="Nimbus Roman"/>
                <w:color w:val="000000"/>
                <w:sz w:val="21"/>
                <w:szCs w:val="21"/>
              </w:rPr>
              <w:t>П</w:t>
            </w:r>
            <w:r>
              <w:rPr>
                <w:rFonts w:ascii="Nimbus Roman" w:hAnsi="Nimbus Roman"/>
                <w:color w:val="000000"/>
                <w:sz w:val="21"/>
                <w:szCs w:val="21"/>
              </w:rPr>
              <w:t>оказатели</w:t>
            </w:r>
          </w:p>
        </w:tc>
        <w:tc>
          <w:tcPr>
            <w:tcW w:w="38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2024 год</w:t>
            </w:r>
          </w:p>
        </w:tc>
        <w:tc>
          <w:tcPr>
            <w:tcW w:w="36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2025 год</w:t>
            </w:r>
          </w:p>
        </w:tc>
      </w:tr>
      <w:tr>
        <w:trPr>
          <w:trHeight w:val="1036" w:hRule="atLeast"/>
        </w:trPr>
        <w:tc>
          <w:tcPr>
            <w:tcW w:w="212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</w: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Утвержденный план на год</w:t>
            </w:r>
          </w:p>
        </w:tc>
        <w:tc>
          <w:tcPr>
            <w:tcW w:w="1022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Исполнено за 1 полугодие 2024г.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% исполнения</w:t>
            </w:r>
          </w:p>
        </w:tc>
        <w:tc>
          <w:tcPr>
            <w:tcW w:w="86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Уд.вес к общ доходам</w:t>
            </w:r>
          </w:p>
        </w:tc>
        <w:tc>
          <w:tcPr>
            <w:tcW w:w="1131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Утвержденный план на год</w:t>
            </w:r>
          </w:p>
        </w:tc>
        <w:tc>
          <w:tcPr>
            <w:tcW w:w="102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Исполнено за 1 полугодие 2025г.</w:t>
            </w:r>
          </w:p>
        </w:tc>
        <w:tc>
          <w:tcPr>
            <w:tcW w:w="6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% исполнения</w:t>
            </w:r>
          </w:p>
        </w:tc>
        <w:tc>
          <w:tcPr>
            <w:tcW w:w="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Уд.вес к общим доходам</w:t>
            </w:r>
          </w:p>
        </w:tc>
      </w:tr>
      <w:tr>
        <w:trPr>
          <w:trHeight w:val="367" w:hRule="atLeast"/>
        </w:trPr>
        <w:tc>
          <w:tcPr>
            <w:tcW w:w="2125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Всего доходов</w:t>
            </w: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829666,74</w:t>
            </w:r>
          </w:p>
        </w:tc>
        <w:tc>
          <w:tcPr>
            <w:tcW w:w="102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360479,51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43,45</w:t>
            </w:r>
          </w:p>
        </w:tc>
        <w:tc>
          <w:tcPr>
            <w:tcW w:w="86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100,00</w:t>
            </w:r>
          </w:p>
        </w:tc>
        <w:tc>
          <w:tcPr>
            <w:tcW w:w="113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931589,77</w:t>
            </w:r>
          </w:p>
        </w:tc>
        <w:tc>
          <w:tcPr>
            <w:tcW w:w="102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376086,98</w:t>
            </w:r>
          </w:p>
        </w:tc>
        <w:tc>
          <w:tcPr>
            <w:tcW w:w="668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40,37</w:t>
            </w:r>
          </w:p>
        </w:tc>
        <w:tc>
          <w:tcPr>
            <w:tcW w:w="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100,00</w:t>
            </w:r>
          </w:p>
        </w:tc>
      </w:tr>
      <w:tr>
        <w:trPr>
          <w:trHeight w:val="396" w:hRule="atLeast"/>
        </w:trPr>
        <w:tc>
          <w:tcPr>
            <w:tcW w:w="2125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Налоговые доходы</w:t>
            </w: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194083,08</w:t>
            </w:r>
          </w:p>
        </w:tc>
        <w:tc>
          <w:tcPr>
            <w:tcW w:w="102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83269,73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42,90</w:t>
            </w:r>
          </w:p>
        </w:tc>
        <w:tc>
          <w:tcPr>
            <w:tcW w:w="86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23,10</w:t>
            </w:r>
          </w:p>
        </w:tc>
        <w:tc>
          <w:tcPr>
            <w:tcW w:w="113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222834,51</w:t>
            </w:r>
          </w:p>
        </w:tc>
        <w:tc>
          <w:tcPr>
            <w:tcW w:w="102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97510,49</w:t>
            </w:r>
          </w:p>
        </w:tc>
        <w:tc>
          <w:tcPr>
            <w:tcW w:w="668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43,76</w:t>
            </w:r>
          </w:p>
        </w:tc>
        <w:tc>
          <w:tcPr>
            <w:tcW w:w="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25,93</w:t>
            </w:r>
          </w:p>
        </w:tc>
      </w:tr>
      <w:tr>
        <w:trPr>
          <w:trHeight w:val="395" w:hRule="atLeast"/>
        </w:trPr>
        <w:tc>
          <w:tcPr>
            <w:tcW w:w="2125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Неналоговые доходы</w:t>
            </w: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20522,40</w:t>
            </w:r>
          </w:p>
        </w:tc>
        <w:tc>
          <w:tcPr>
            <w:tcW w:w="102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10232,12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49,86</w:t>
            </w:r>
          </w:p>
        </w:tc>
        <w:tc>
          <w:tcPr>
            <w:tcW w:w="86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2,84</w:t>
            </w:r>
          </w:p>
        </w:tc>
        <w:tc>
          <w:tcPr>
            <w:tcW w:w="113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21897,83</w:t>
            </w:r>
          </w:p>
        </w:tc>
        <w:tc>
          <w:tcPr>
            <w:tcW w:w="102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10109,18</w:t>
            </w:r>
          </w:p>
        </w:tc>
        <w:tc>
          <w:tcPr>
            <w:tcW w:w="668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46,17</w:t>
            </w:r>
          </w:p>
        </w:tc>
        <w:tc>
          <w:tcPr>
            <w:tcW w:w="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2,69</w:t>
            </w:r>
          </w:p>
        </w:tc>
      </w:tr>
      <w:tr>
        <w:trPr>
          <w:trHeight w:val="450" w:hRule="atLeast"/>
        </w:trPr>
        <w:tc>
          <w:tcPr>
            <w:tcW w:w="2125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Безвозмездные поступления</w:t>
            </w: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615061,26</w:t>
            </w:r>
          </w:p>
        </w:tc>
        <w:tc>
          <w:tcPr>
            <w:tcW w:w="102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266977,66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43,41</w:t>
            </w:r>
          </w:p>
        </w:tc>
        <w:tc>
          <w:tcPr>
            <w:tcW w:w="86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74,06</w:t>
            </w:r>
          </w:p>
        </w:tc>
        <w:tc>
          <w:tcPr>
            <w:tcW w:w="1131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686857,43</w:t>
            </w:r>
          </w:p>
        </w:tc>
        <w:tc>
          <w:tcPr>
            <w:tcW w:w="1024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268467,31</w:t>
            </w:r>
          </w:p>
        </w:tc>
        <w:tc>
          <w:tcPr>
            <w:tcW w:w="668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39,09</w:t>
            </w:r>
          </w:p>
        </w:tc>
        <w:tc>
          <w:tcPr>
            <w:tcW w:w="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71,38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Из представленных в таблице  данных видно, что 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структуре  бюджета Ленинского муниципального района за 1 полугодие 2025 года доля исполненных бюджетных назначений  по  налоговым доходам   составила 25,93%  (в 2024 году 23,10%), доля неналоговых доходов 2,69%  (в 2024 году 2,84%), доля безвозмездных поступлений 71,38% (в 2024 году 74,06%).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Таким образом, в анализируемом периоде текущего 2025 года наблюдается увеличение доли собственных доходов в бюджет района и  снижение доли безвозмездных поступлений к аналогичному периоду 2024 года.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Cs/>
          <w:i/>
          <w:i/>
          <w:iCs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  <w:t>2.1. Поступление собственных доходов за 1 полугодие 2025 года.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Cs/>
          <w:i/>
          <w:i/>
          <w:iCs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Поступление собственных доходов в  бюджет муниципального района за 1 полугодие 2025 года, и для сравнения за аналогичный период 2024 года, представлено в таблице (тыс. руб.):</w:t>
      </w:r>
    </w:p>
    <w:p>
      <w:pPr>
        <w:pStyle w:val="Normal"/>
        <w:spacing w:lineRule="auto" w:line="240" w:before="0" w:after="0"/>
        <w:ind w:firstLine="68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tbl>
      <w:tblPr>
        <w:tblW w:w="9626" w:type="dxa"/>
        <w:jc w:val="left"/>
        <w:tblInd w:w="-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871"/>
        <w:gridCol w:w="1169"/>
        <w:gridCol w:w="1266"/>
        <w:gridCol w:w="840"/>
        <w:gridCol w:w="1217"/>
        <w:gridCol w:w="1246"/>
        <w:gridCol w:w="41"/>
        <w:gridCol w:w="974"/>
      </w:tblGrid>
      <w:tr>
        <w:trPr>
          <w:trHeight w:val="360" w:hRule="atLeast"/>
        </w:trPr>
        <w:tc>
          <w:tcPr>
            <w:tcW w:w="2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eastAsia="Times New Roman" w:cs="Times New Roman" w:ascii="Nimbus Roman" w:hAnsi="Nimbus Roman"/>
                <w:b/>
                <w:color w:val="000000"/>
                <w:sz w:val="21"/>
                <w:szCs w:val="21"/>
              </w:rPr>
              <w:t>С</w:t>
            </w: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татьи доходов</w:t>
            </w:r>
          </w:p>
        </w:tc>
        <w:tc>
          <w:tcPr>
            <w:tcW w:w="3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2024 год</w:t>
            </w:r>
          </w:p>
        </w:tc>
        <w:tc>
          <w:tcPr>
            <w:tcW w:w="34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2025 год</w:t>
            </w:r>
          </w:p>
        </w:tc>
      </w:tr>
      <w:tr>
        <w:trPr>
          <w:trHeight w:val="976" w:hRule="atLeast"/>
        </w:trPr>
        <w:tc>
          <w:tcPr>
            <w:tcW w:w="28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rFonts w:ascii="Nimbus Roman" w:hAnsi="Nimbus Roman"/>
                <w:b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Уточненный план на 2024 год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Исполнено за 1 полугодие 2024 года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% исполнения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Уточненный план на 2025 год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Исполнено за 1 полугодие 2025 года</w:t>
            </w:r>
          </w:p>
        </w:tc>
        <w:tc>
          <w:tcPr>
            <w:tcW w:w="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b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% исполнения</w:t>
            </w:r>
          </w:p>
        </w:tc>
      </w:tr>
      <w:tr>
        <w:trPr>
          <w:trHeight w:val="354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i/>
                <w:color w:val="000000"/>
                <w:sz w:val="21"/>
                <w:szCs w:val="21"/>
              </w:rPr>
              <w:t>Собственные доходы, всего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214605,48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93501,85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43,57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244732,34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107619,67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43,97</w:t>
            </w:r>
          </w:p>
        </w:tc>
      </w:tr>
      <w:tr>
        <w:trPr>
          <w:trHeight w:val="341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1.Налоговые доходы всего: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194083,08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83269,73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42,90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222834,51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97510,49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43,76</w:t>
            </w:r>
          </w:p>
        </w:tc>
      </w:tr>
      <w:tr>
        <w:trPr>
          <w:trHeight w:val="504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1.1.в т. ч. налог на доходы физических лиц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169227,0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68432,52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40,44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192100,0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80121,86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41,71</w:t>
            </w:r>
          </w:p>
        </w:tc>
      </w:tr>
      <w:tr>
        <w:trPr>
          <w:trHeight w:val="781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1.2. Налоги на товары (работы, услуги), реализуемые на территории РФ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16467,08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7523,83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45,69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16334,51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6627,07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40,57</w:t>
            </w:r>
          </w:p>
        </w:tc>
      </w:tr>
      <w:tr>
        <w:trPr>
          <w:trHeight w:val="525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1.3. Налог на совокупный доход, в том числе: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5373,00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4985,50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92,79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6900,00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5416,39</w:t>
            </w:r>
          </w:p>
        </w:tc>
        <w:tc>
          <w:tcPr>
            <w:tcW w:w="4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78,50</w:t>
            </w:r>
          </w:p>
        </w:tc>
      </w:tr>
      <w:tr>
        <w:trPr>
          <w:trHeight w:val="1029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1.3.1. Налог, взимаемый в связи с применением упрощенной системы налогообложения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1377,0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1125,29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81,72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2100,0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1704,04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81,14</w:t>
            </w:r>
          </w:p>
        </w:tc>
      </w:tr>
      <w:tr>
        <w:trPr>
          <w:trHeight w:val="778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1.3.2. Единый налог на вмененный доход для отдельных видов деятельности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14,08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</w:r>
          </w:p>
        </w:tc>
      </w:tr>
      <w:tr>
        <w:trPr>
          <w:trHeight w:val="764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1.3.3. Налог, взимаемый с применением патентной системы налогообложения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1870,0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2006,87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107,32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2700,0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2072,77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76,77</w:t>
            </w:r>
          </w:p>
        </w:tc>
      </w:tr>
      <w:tr>
        <w:trPr>
          <w:trHeight w:val="502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1.3.4. Единый сельскохозяйственный налог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2126,0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1839,26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86,51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2100,0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1639,58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78,08</w:t>
            </w:r>
          </w:p>
        </w:tc>
      </w:tr>
      <w:tr>
        <w:trPr>
          <w:trHeight w:val="287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1.4. Госпошлина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3016,0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2327,88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77,18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7500,0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5345,17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71,27</w:t>
            </w:r>
          </w:p>
        </w:tc>
      </w:tr>
      <w:tr>
        <w:trPr>
          <w:trHeight w:val="540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2. Неналоговые доходы всего, в т. ч.: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20522,40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10232,12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49,86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21897,83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10109,18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1"/>
                <w:szCs w:val="21"/>
              </w:rPr>
              <w:t>46,17</w:t>
            </w:r>
          </w:p>
        </w:tc>
      </w:tr>
      <w:tr>
        <w:trPr>
          <w:trHeight w:val="988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2.1. Доходы от использования имущества находящегося в муниципальной и гос. собственности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4724,0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2411,47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51,05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5596,69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2427,54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43,37</w:t>
            </w:r>
          </w:p>
        </w:tc>
      </w:tr>
      <w:tr>
        <w:trPr>
          <w:trHeight w:val="999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2.2. Доходы от продажи материальных и нематериальных активов (земельные участки)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1050,00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1018,65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97,01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200,00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355,05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177,53</w:t>
            </w:r>
          </w:p>
        </w:tc>
      </w:tr>
      <w:tr>
        <w:trPr>
          <w:trHeight w:val="766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2.3. Доходы от оказания платных услуг и компенсации затрат государства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13850,96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6245,33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45,09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14814,14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6250,93</w:t>
            </w:r>
          </w:p>
        </w:tc>
        <w:tc>
          <w:tcPr>
            <w:tcW w:w="1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42,20</w:t>
            </w:r>
          </w:p>
        </w:tc>
      </w:tr>
      <w:tr>
        <w:trPr>
          <w:trHeight w:val="570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Платежи за пользование природными ресурсами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164,0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78,76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48,02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147,0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62,41</w:t>
            </w:r>
          </w:p>
        </w:tc>
        <w:tc>
          <w:tcPr>
            <w:tcW w:w="4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i/>
                <w:i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i/>
                <w:color w:val="000000"/>
                <w:sz w:val="21"/>
                <w:szCs w:val="21"/>
              </w:rPr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42,46</w:t>
            </w:r>
          </w:p>
        </w:tc>
      </w:tr>
      <w:tr>
        <w:trPr>
          <w:trHeight w:val="540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2.5. Штрафы, санкции, возмещение ущерба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557,44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301,91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54,16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1000,00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882,64</w:t>
            </w:r>
          </w:p>
        </w:tc>
        <w:tc>
          <w:tcPr>
            <w:tcW w:w="4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88,26</w:t>
            </w:r>
          </w:p>
        </w:tc>
      </w:tr>
      <w:tr>
        <w:trPr>
          <w:trHeight w:val="472" w:hRule="atLeast"/>
        </w:trPr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2.6. Прочие неналоговые доходы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176,00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176,00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100,00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140,00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130,61</w:t>
            </w:r>
          </w:p>
        </w:tc>
        <w:tc>
          <w:tcPr>
            <w:tcW w:w="4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color w:val="000000"/>
                <w:sz w:val="21"/>
                <w:szCs w:val="21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1"/>
                <w:szCs w:val="21"/>
              </w:rPr>
              <w:t>93,29</w:t>
            </w:r>
          </w:p>
        </w:tc>
      </w:tr>
    </w:tbl>
    <w:p>
      <w:pPr>
        <w:pStyle w:val="Normal"/>
        <w:spacing w:lineRule="auto" w:line="240" w:before="0" w:after="0"/>
        <w:ind w:hanging="0"/>
        <w:contextualSpacing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hanging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u w:val="single"/>
        </w:rPr>
        <w:t>Поступление налоговых доходов.</w:t>
      </w:r>
    </w:p>
    <w:p>
      <w:pPr>
        <w:pStyle w:val="Normal"/>
        <w:spacing w:lineRule="auto" w:line="240" w:before="0" w:after="0"/>
        <w:ind w:hanging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Налоговые  доходы за  1 полугодие текущего года  при годовом плане 222834,51 тыс. руб. поступили в бюджет района в объеме 97510,49 тыс. руб., что составляет  43,76% от суммы утвержденных годовых  бюджетных назначений. В сравнении с аналогичным периодом 2024 года  сумма поступлений по налоговым доходам увеличилась на 14240,76 тыс. руб. или на 17,1%.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Основным источником,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за счет поступлений которого формируется бюджет района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и имеющий наибольший удельный вес в сумме налоговых поступлений, является </w:t>
      </w:r>
      <w:r>
        <w:rPr>
          <w:rFonts w:cs="Times New Roman" w:ascii="Times New Roman" w:hAnsi="Times New Roman"/>
          <w:b/>
          <w:i w:val="false"/>
          <w:iCs w:val="false"/>
          <w:color w:val="000000"/>
          <w:sz w:val="26"/>
          <w:szCs w:val="26"/>
        </w:rPr>
        <w:t>налог на доходы физических лиц</w:t>
      </w:r>
      <w:r>
        <w:rPr>
          <w:rFonts w:cs="Times New Roman" w:ascii="Times New Roman" w:hAnsi="Times New Roman"/>
          <w:color w:val="000000"/>
          <w:sz w:val="26"/>
          <w:szCs w:val="26"/>
        </w:rPr>
        <w:t>, поступление которого за 1 полугодие 2025 года составило 80121,86 тыс. руб. или 41,71% от плановых назначений, и это выше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поступлений за аналогичный период 2024 года на 11689,34 тыс. руб. или на 17,1%. </w:t>
      </w:r>
      <w:r>
        <w:rPr>
          <w:rFonts w:cs="Times New Roman" w:ascii="Times New Roman" w:hAnsi="Times New Roman"/>
          <w:color w:val="000000"/>
          <w:sz w:val="26"/>
          <w:szCs w:val="26"/>
        </w:rPr>
        <w:t>Доля в общей сумме налоговых поступлений составляет 82,2% 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Вторым по величине поступлений среди налоговых доходов является </w:t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6"/>
          <w:szCs w:val="26"/>
        </w:rPr>
        <w:t>налог на товары (работы, услуги), реализуемые на территории РФ (акцизы)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. Поступление </w:t>
      </w:r>
      <w:r>
        <w:rPr>
          <w:rFonts w:cs="Times New Roman" w:ascii="Times New Roman" w:hAnsi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по данному налогу за 1 полугодие 2025 года составило 6627,07  тыс. руб. или 40,57% к плановым бюджетным назначениям. Удельный вес в общей сумме налоговых поступлений составил 6,8%.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  <w:tab/>
      </w:r>
      <w:r>
        <w:rPr>
          <w:rFonts w:eastAsia="Times New Roman" w:cs="Times New Roman" w:ascii="Times New Roman" w:hAnsi="Times New Roman"/>
          <w:bCs/>
          <w:iCs/>
          <w:color w:val="000000"/>
          <w:sz w:val="26"/>
          <w:szCs w:val="26"/>
        </w:rPr>
        <w:t>В совокупности эти два налога обеспечили 89,0% от поступлений налоговых доходов.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  <w:u w:val="single"/>
        </w:rPr>
        <w:t>Поступление неналоговых доходов.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Поступление неналоговых доходов за 1 полугодие 2025 года при годовом плане 21897,83 тыс. руб. составило 10109,18 тыс. руб. или 46,17% от суммы утвержденных бюджетных назначений. В сравнении с аналогичным периодом 2024 года сумма поступлений уменьшилась на 122,94 тыс. руб. или на 1,2%.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Наибольший удельный вес в общем объеме неналоговых доходов по итогам 1 полугодия 2025 года приходится на поступления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доходов от оказания платных услуг и компенсации затрат государства 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 и составляет 61,8%. При плане 14814,14 тыс. руб. поступление составило 6250,93 тыс. руб. или 42,2% от плана, что практически на уровне  поступлений за аналогичный период 2024 года, удельный вес в общем объеме неналоговых доходов составляет 61,8%.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i w:val="false"/>
          <w:iCs w:val="false"/>
          <w:color w:val="000000"/>
          <w:sz w:val="26"/>
          <w:szCs w:val="26"/>
        </w:rPr>
        <w:t>Доходы от использования имущества находящегося в муниципальной и государственной собственности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при плане 5596,69 тыс. руб. поступили в размере 2427,54 тыс. руб. или 43,37 % от годовых прогнозных назначений, что выше поступлений за аналогичный период 2024 года на 16,07 тыс. руб. или на 0,7%, удельный вес в общем объеме неналоговых доходов составляет 24,0%.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Штрафы, санкции, возмещение ущерба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при годовом плане 1000,0 тыс. руб. поступили за 1 полугодие в размере 882,64 тыс. руб., что составляет 88,26% от утвержденного плана и это выше поступлений за аналогичный период 2024 года на 580,73 тыс. руб., удельный вес в общем объеме неналоговых доходов составляет 8,7%.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целом эти три дохода обеспечили 94,5% от поступлений неналоговых доходов. Оставшиеся 5,5% поступлений в районный бюджет формируются за счет остальных видов неналоговых доходов: доходов от продажи материальных и нематериальных активов, платежей за пользование природными ресурсами.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Таким образом, поступление собственных доходов за 1 полугодие 2025 года составило 107619,67 тыс. руб. или 43,97% от утвержденного плана. К аналогичному периоду 2024 года объем собственных доходов возрос на 14117,82 тыс. руб. или на 15,1%.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  <w:t>2.2. Безвозмездные поступления в бюджет муниципального района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6"/>
          <w:szCs w:val="26"/>
        </w:rPr>
        <w:t>за 1 полугодие 2025 года.</w:t>
      </w:r>
    </w:p>
    <w:p>
      <w:pPr>
        <w:pStyle w:val="Normal"/>
        <w:spacing w:lineRule="auto" w:line="240" w:before="0" w:after="0"/>
        <w:ind w:firstLine="567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Объем безвозмездных поступлений из бюджетов других уровней в  бюджет муниципального района за 1 полугодие 2025 года и для сравнения за аналогичный период 2024 года представлен в таблице (тыс. руб.):    </w:t>
      </w:r>
    </w:p>
    <w:tbl>
      <w:tblPr>
        <w:tblW w:w="9723" w:type="dxa"/>
        <w:jc w:val="left"/>
        <w:tblInd w:w="-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763"/>
        <w:gridCol w:w="1146"/>
        <w:gridCol w:w="1077"/>
        <w:gridCol w:w="790"/>
        <w:gridCol w:w="1023"/>
        <w:gridCol w:w="1079"/>
        <w:gridCol w:w="844"/>
      </w:tblGrid>
      <w:tr>
        <w:trPr>
          <w:trHeight w:val="300" w:hRule="atLeast"/>
        </w:trPr>
        <w:tc>
          <w:tcPr>
            <w:tcW w:w="37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30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29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2025 год</w:t>
            </w:r>
          </w:p>
        </w:tc>
      </w:tr>
      <w:tr>
        <w:trPr>
          <w:trHeight w:val="985" w:hRule="atLeast"/>
        </w:trPr>
        <w:tc>
          <w:tcPr>
            <w:tcW w:w="376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Уточненный план на год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Исполнено за 1 полугодие 2024г.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% исполнения</w:t>
            </w:r>
          </w:p>
        </w:tc>
        <w:tc>
          <w:tcPr>
            <w:tcW w:w="102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Уточненный план на год</w:t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Исполнено за 1 полугодие 2025г.</w:t>
            </w:r>
          </w:p>
        </w:tc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% исполнения</w:t>
            </w:r>
          </w:p>
        </w:tc>
      </w:tr>
      <w:tr>
        <w:trPr>
          <w:trHeight w:val="323" w:hRule="atLeast"/>
        </w:trPr>
        <w:tc>
          <w:tcPr>
            <w:tcW w:w="376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Безвозмездные поступления, в т.ч.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615041,26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266977,66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43,41</w:t>
            </w:r>
          </w:p>
        </w:tc>
        <w:tc>
          <w:tcPr>
            <w:tcW w:w="102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686857,43</w:t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268467,31</w:t>
            </w:r>
          </w:p>
        </w:tc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39,09</w:t>
            </w:r>
          </w:p>
        </w:tc>
      </w:tr>
      <w:tr>
        <w:trPr>
          <w:trHeight w:val="969" w:hRule="atLeast"/>
        </w:trPr>
        <w:tc>
          <w:tcPr>
            <w:tcW w:w="376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102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54566,00</w:t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10939,00</w:t>
            </w:r>
          </w:p>
        </w:tc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20,05</w:t>
            </w:r>
          </w:p>
        </w:tc>
      </w:tr>
      <w:tr>
        <w:trPr>
          <w:trHeight w:val="464" w:hRule="atLeast"/>
        </w:trPr>
        <w:tc>
          <w:tcPr>
            <w:tcW w:w="376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Субсидии бюджетам бюджетной системы РФ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228397,71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67617,96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102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148239,12</w:t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17912,92</w:t>
            </w:r>
          </w:p>
        </w:tc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12,08</w:t>
            </w:r>
          </w:p>
        </w:tc>
      </w:tr>
      <w:tr>
        <w:trPr>
          <w:trHeight w:val="473" w:hRule="atLeast"/>
        </w:trPr>
        <w:tc>
          <w:tcPr>
            <w:tcW w:w="376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Субвенции бюджетам бюджетной системы РФ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357991,20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176119,14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49,20</w:t>
            </w:r>
          </w:p>
        </w:tc>
        <w:tc>
          <w:tcPr>
            <w:tcW w:w="102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418595,55</w:t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191821,31</w:t>
            </w:r>
          </w:p>
        </w:tc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45,82</w:t>
            </w:r>
          </w:p>
        </w:tc>
      </w:tr>
      <w:tr>
        <w:trPr>
          <w:trHeight w:val="428" w:hRule="atLeast"/>
        </w:trPr>
        <w:tc>
          <w:tcPr>
            <w:tcW w:w="376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28652,35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25986,00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90,69</w:t>
            </w:r>
          </w:p>
        </w:tc>
        <w:tc>
          <w:tcPr>
            <w:tcW w:w="102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65441,76</w:t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50229,34</w:t>
            </w:r>
          </w:p>
        </w:tc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76,75</w:t>
            </w:r>
          </w:p>
        </w:tc>
      </w:tr>
      <w:tr>
        <w:trPr>
          <w:trHeight w:val="396" w:hRule="atLeast"/>
        </w:trPr>
        <w:tc>
          <w:tcPr>
            <w:tcW w:w="376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2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100,00</w:t>
            </w:r>
          </w:p>
        </w:tc>
      </w:tr>
      <w:tr>
        <w:trPr>
          <w:trHeight w:val="1677" w:hRule="atLeast"/>
        </w:trPr>
        <w:tc>
          <w:tcPr>
            <w:tcW w:w="376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Перечисления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102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</w:tr>
      <w:tr>
        <w:trPr>
          <w:trHeight w:val="709" w:hRule="atLeast"/>
        </w:trPr>
        <w:tc>
          <w:tcPr>
            <w:tcW w:w="376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Возврат остатков субсидий, субвенций и иных МБТ, имеющих целевое назначение, прошлых лет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-2765,44</w:t>
            </w:r>
          </w:p>
        </w:tc>
        <w:tc>
          <w:tcPr>
            <w:tcW w:w="790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102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  <w:tc>
          <w:tcPr>
            <w:tcW w:w="107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-2450,25</w:t>
            </w:r>
          </w:p>
        </w:tc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                                                          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Как видно из таблицы безвозмездные поступления в доход районного бюджета за 1 полугодие 2025 года поступили в виде:</w:t>
      </w:r>
    </w:p>
    <w:p>
      <w:pPr>
        <w:pStyle w:val="Normal"/>
        <w:tabs>
          <w:tab w:val="clear" w:pos="708"/>
        </w:tabs>
        <w:spacing w:lineRule="auto" w:line="240" w:before="0" w:after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дотации бюджетам муниципальных районов на поддержку мер по обеспечению сбалансированности бюджетов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в размере 10939,0 тыс. руб. или 20,05% от утвержденной суммы бюджетных назначений (54566,0 тыс. руб.);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субсидий бюджетам бюджетной системы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РФ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в размере 17912,92 тыс. руб. или 12,08% от утвержденной суммы бюджетных назначений (148239,12 тыс. руб.) и это на 49705,04 тыс. руб. или на 73,5% меньше поступлений в аналогичном периоде 2024 года;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субвенций бюджетам бюджетной системы РФ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размере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191821,31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тыс. руб. или 45,82% от утвержденной суммы бюджетных назначений (418595,55 тыс. руб.) и это на 15702,17 тыс. руб. или на 8,92% больше поступлений в аналогичном периоде 2024 года;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иных межбюджетных трансфертов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в размере 50229,34 тыс. руб., что составило 76,75 % от годовой суммы плановых назначений (65441,76 тыс. руб.) и это на 24243,34 тыс. руб. или на 93,3% больше поступлений в аналогичном периоде 2024 года;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- прочих безвозмездных поступлений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в размере 15,0 тыс.руб., что составляет 100% от плана.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b/>
          <w:color w:val="000000"/>
          <w:sz w:val="26"/>
          <w:szCs w:val="26"/>
        </w:rPr>
        <w:t xml:space="preserve">Таким образом, безвозмездные поступления из бюджетов других уровней поступили в бюджет муниципального района в размере 268467,31 тыс. руб., что составляет 39,09% от утвержденного плана и это на 1489,65 тыс. руб. или на 0,56% выше аналогичного периода  2024 года (266977,66 тыс. руб.). </w:t>
      </w:r>
    </w:p>
    <w:p>
      <w:pPr>
        <w:pStyle w:val="Normal"/>
        <w:spacing w:lineRule="auto" w:line="240" w:before="0" w:after="0"/>
        <w:ind w:firstLine="567"/>
        <w:jc w:val="both"/>
        <w:rPr>
          <w:color w:val="000000"/>
        </w:rPr>
      </w:pPr>
      <w:r>
        <w:rPr>
          <w:color w:val="000000"/>
        </w:rPr>
      </w:r>
    </w:p>
    <w:p>
      <w:pPr>
        <w:pStyle w:val="ListParagraph"/>
        <w:spacing w:lineRule="auto" w:line="240" w:before="0" w:after="0"/>
        <w:ind w:firstLine="708" w:left="0"/>
        <w:contextualSpacing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3. Исполнение расходной части бюджета Ленинского муниципального района за 1 полугодие 2025 года.</w:t>
      </w:r>
    </w:p>
    <w:p>
      <w:pPr>
        <w:pStyle w:val="ListParagraph"/>
        <w:spacing w:lineRule="auto" w:line="240" w:before="0" w:after="0"/>
        <w:ind w:firstLine="708" w:left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По разделам функциональной классификации расходов  за 1 полугодие 2025 года исполнение плановых назначений по расходам сложилось следующим образом (тыс. руб.):</w:t>
      </w:r>
    </w:p>
    <w:tbl>
      <w:tblPr>
        <w:tblW w:w="9699" w:type="dxa"/>
        <w:jc w:val="left"/>
        <w:tblInd w:w="-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310"/>
        <w:gridCol w:w="733"/>
        <w:gridCol w:w="1174"/>
        <w:gridCol w:w="1094"/>
        <w:gridCol w:w="1089"/>
        <w:gridCol w:w="1000"/>
        <w:gridCol w:w="779"/>
        <w:gridCol w:w="777"/>
        <w:gridCol w:w="742"/>
      </w:tblGrid>
      <w:tr>
        <w:trPr>
          <w:trHeight w:val="870" w:hRule="atLeast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eastAsia="Times New Roman" w:cs="Times New Roman" w:ascii="Nimbus Roman" w:hAnsi="Nimbus Roman"/>
                <w:b/>
                <w:color w:val="000000"/>
                <w:sz w:val="20"/>
                <w:szCs w:val="20"/>
              </w:rPr>
              <w:t>Н</w:t>
            </w: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аименование показателей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Раздел, подраздел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Исполнено за 1 полугодие 2024 года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Утверждено на  2025 год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Исполнение за 1 полугодие 2025г.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Рост/снижение к 2024 году (+,-)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Рост/снижение к 2024г. %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% исполнения к плану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Удельн вес в общих расход</w:t>
            </w:r>
          </w:p>
        </w:tc>
      </w:tr>
      <w:tr>
        <w:trPr>
          <w:trHeight w:val="420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39373,48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111636,74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46151,95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6778,47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41,34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12,47</w:t>
            </w:r>
          </w:p>
        </w:tc>
      </w:tr>
      <w:tr>
        <w:trPr>
          <w:trHeight w:val="948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756,04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2802,19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1250,36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494,32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65,38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44,62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0,34</w:t>
            </w:r>
          </w:p>
        </w:tc>
      </w:tr>
      <w:tr>
        <w:trPr>
          <w:trHeight w:val="338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28917,59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121506,09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15348,88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-13568,71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-46,92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4,15</w:t>
            </w:r>
          </w:p>
        </w:tc>
      </w:tr>
      <w:tr>
        <w:trPr>
          <w:trHeight w:val="405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ЖКХ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5056,90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17071,67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2483,87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-2573,03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-50,88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0,67</w:t>
            </w:r>
          </w:p>
        </w:tc>
      </w:tr>
      <w:tr>
        <w:trPr>
          <w:trHeight w:val="390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203294,73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528920,43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233855,18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30560,45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44,21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63,16</w:t>
            </w:r>
          </w:p>
        </w:tc>
      </w:tr>
      <w:tr>
        <w:trPr>
          <w:trHeight w:val="480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2378,93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9089,74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2644,07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265,14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29,09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0,71</w:t>
            </w:r>
          </w:p>
        </w:tc>
      </w:tr>
      <w:tr>
        <w:trPr>
          <w:trHeight w:val="375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42438,38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100213,76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52148,15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9709,77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52,04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14,08</w:t>
            </w:r>
          </w:p>
        </w:tc>
      </w:tr>
      <w:tr>
        <w:trPr>
          <w:trHeight w:val="330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ФК и спорт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3288,72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27261,87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5305,19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2016,47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61,31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1,43</w:t>
            </w:r>
          </w:p>
        </w:tc>
      </w:tr>
      <w:tr>
        <w:trPr>
          <w:trHeight w:val="314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СМИ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1452,31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3893,34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1604,52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152,21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41,21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0,43</w:t>
            </w:r>
          </w:p>
        </w:tc>
      </w:tr>
      <w:tr>
        <w:trPr>
          <w:trHeight w:val="457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14709,02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49516,16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9453,82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-5255,20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-35,73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2,55</w:t>
            </w:r>
          </w:p>
        </w:tc>
      </w:tr>
      <w:tr>
        <w:trPr>
          <w:trHeight w:val="375" w:hRule="atLeast"/>
        </w:trPr>
        <w:tc>
          <w:tcPr>
            <w:tcW w:w="23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left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73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Nimbus Roman" w:hAnsi="Nimbus Roman"/>
                <w:b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</w:r>
          </w:p>
        </w:tc>
        <w:tc>
          <w:tcPr>
            <w:tcW w:w="117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341666,10</w:t>
            </w:r>
          </w:p>
        </w:tc>
        <w:tc>
          <w:tcPr>
            <w:tcW w:w="109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971911,99</w:t>
            </w:r>
          </w:p>
        </w:tc>
        <w:tc>
          <w:tcPr>
            <w:tcW w:w="108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370245,99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28579,89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right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7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38,09</w:t>
            </w:r>
          </w:p>
        </w:tc>
        <w:tc>
          <w:tcPr>
            <w:tcW w:w="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color w:val="000000"/>
              </w:rPr>
            </w:pPr>
            <w:r>
              <w:rPr>
                <w:rFonts w:ascii="Nimbus Roman" w:hAnsi="Nimbus Roman"/>
                <w:b/>
                <w:color w:val="000000"/>
                <w:sz w:val="20"/>
                <w:szCs w:val="20"/>
              </w:rPr>
              <w:t>100,00</w:t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структуре произведенных  расходов бюджета Ленинского муниципального района за 1 полугодие 2025 года наибольший удельный вес составили расходы по следующим  разделам: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 «Образование» 63,16%  (233855,18 тыс. руб.);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«Социальная политика»  14,08%  (52148,15 тыс. руб.);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«Общегосударственные вопросы»  12,47% (46151,95 тыс. руб.).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По остальным разделам удельный вес по расходам составил менее 5,0%.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 сравнению с данными за аналогичный период 2024 года расходы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увеличились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практически по всем разделам, за исключением разделов «Национальная экономика», «ЖКХ», «Межбюджетные трансферты».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 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Таким образом, за 1 полугодие 2025 года расходы, при годовом плане 971911,99 тыс. руб., исполнены в размере 370245,99 тыс. руб., что составляет 38,09% от утвержденных годовых бюджетных назначений.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По сравнению с аналогичным периодом 2024 года (341666,10 тыс. руб.) расходы за 1 полугодие текущего года увеличились в целом на 28579,89 тыс. руб. или на 8,36%.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4. Использование средств резервного фонда Ленинского</w:t>
      </w:r>
    </w:p>
    <w:p>
      <w:pPr>
        <w:pStyle w:val="Normal"/>
        <w:spacing w:lineRule="auto" w:line="240" w:before="0" w:after="0"/>
        <w:ind w:firstLine="709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муниципального района.</w:t>
      </w:r>
    </w:p>
    <w:p>
      <w:pPr>
        <w:pStyle w:val="Normal"/>
        <w:spacing w:lineRule="auto" w:line="240" w:before="0" w:after="0"/>
        <w:ind w:left="720"/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ListParagraph"/>
        <w:spacing w:lineRule="auto" w:line="240" w:before="0" w:after="0"/>
        <w:ind w:firstLine="708" w:lef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Решением Ленинской районной Думы от 12.12.2024г. №16/69 «О бюджете Ленинского муниципального района  на 2025 год и на плановый период 2026 и 2027 годов» </w:t>
      </w:r>
      <w:r>
        <w:rPr>
          <w:rFonts w:cs="Times New Roman" w:ascii="Times New Roman" w:hAnsi="Times New Roman"/>
          <w:color w:val="000000"/>
          <w:sz w:val="26"/>
          <w:szCs w:val="26"/>
        </w:rPr>
        <w:t>бюджетные назначения на резервный  фонд района  на 2025 год утверждены в сумме 1000,0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За 1 полугодие текущего года р</w:t>
      </w:r>
      <w:r>
        <w:rPr>
          <w:rFonts w:cs="Times New Roman" w:ascii="Times New Roman" w:hAnsi="Times New Roman"/>
          <w:color w:val="000000"/>
          <w:sz w:val="26"/>
          <w:szCs w:val="26"/>
        </w:rPr>
        <w:t>асходование  средств резервного фонда не производилось в виду отсутствия чрезвычайных и стихийных ситуаций.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5. Дефицит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По итогам исполнения бюджета муниципального района за 1 полугодие   2025 года при плановом годовом показателе дефицита бюджета в размере 40322,22 тыс. руб. сложился профицит бюджета в сумме 5840,99 тыс. руб.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За аналогичный период прошлого года  профицит составлял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18813,41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тыс. руб.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>Выводы: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1. Отчет об исполнении бюджета Ленинского муниципального района за 1 полугодие 2025 года утвержден постановлением администрации Ленинского муниципального района от 25.07.2025 №404 и представлен в Контрольно-счетную палату Ленинского муниципального района 28.07.2025г., 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утвержденного решением Ленинской  районной Думы от 16.06.2023 года №8/31.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Однако, Контрольно-счетная палата отмечает, что постановление  Администрации Ленинского муниципального района от 25.07.2025 №404 звучит «Об исполнении бюджета Ленинского муниципального района за II квартал 2025 года», тогда как  в соответствии с п.8.2  раздела 8 Положения о бюджетном процессе отчет об исполнении бюджета утверждается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за полугодие.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2. О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бщая сумма поступлений в доходную часть бюджета за 1 полугодие 2025 года составила 376086,98 тыс. руб. или 40,37 % от годовых прогнозных назначений, что на 15607,47 тыс. руб. или на 4,33 % выше соответствующего показателя 2024 года.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Поступление собственных доходов за 1 полугодие 2025 года составило 107619,67 тыс. руб. или 43,97% от утвержденного плана. К аналогичному периоду 2024 года объем собственных доходов возрос на 14117,82 тыс. руб. или на 15,1%.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Безвозмездные поступления из бюджетов других уровней поступили в бюджет муниципального района в размере 268467,31 тыс. руб., что составляет 39,09% от утвержденного плана и это на 1489,65 тыс. руб. или на 0,56% выше аналогичного периода  2024 года (266977,66 тыс. руб.).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структуре  бюджета Ленинского муниципального района за 1 полугодие 2025 года доля исполненных бюджетных назначений  по  налоговым доходам   составила 25,93%  (в 2024 году 23,10%), доля неналоговых доходов 2,69%  (в 2024 году 2,84%), доля безвозмездных поступлений 71,38% (в 2024 году 74,06%).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В анализируемом периоде текущего 2025 года наблюдается увеличение доли собственных доходов в бюджет района и  снижение доли безвозмездных поступлений к аналогичному периоду 2024 года.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3.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За 1 полугодие 2025 года расходы, при годовом плане 971911,99 тыс. руб., исполнены в размере 370245,99 тыс. руб., что составляет 38,09% от утвержденных годовых бюджетных назначений.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По сравнению с аналогичным периодом 2024 года (341666,10 тыс. руб.) расходы за 1 полугодие текущего года увеличились в целом на 28579,89 тыс. руб. или на 8,36%.</w:t>
      </w:r>
    </w:p>
    <w:p>
      <w:pPr>
        <w:pStyle w:val="ListParagraph"/>
        <w:spacing w:lineRule="auto" w:line="240" w:before="0" w:after="0"/>
        <w:ind w:firstLine="708" w:lef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4.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Бюджетные назначения на резервный  фонд района  на 2025 год утверждены в сумме 1000,0 тыс. руб.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За 1 полугодие текущего года р</w:t>
      </w:r>
      <w:r>
        <w:rPr>
          <w:rFonts w:cs="Times New Roman" w:ascii="Times New Roman" w:hAnsi="Times New Roman"/>
          <w:color w:val="000000"/>
          <w:sz w:val="26"/>
          <w:szCs w:val="26"/>
        </w:rPr>
        <w:t>асходование  средств резервного фонда не производилось в виду отсутствия чрезвычайных и стихийных ситуаций.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5. По итогам исполнения бюджета муниципального района за 1 полугодие   2025 года при плановом годовом показателе дефицита бюджета в размере 40322,22 тыс. руб. сложился профицит бюджета в сумме 5840,99 тыс. руб.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За аналогичный период прошлого года  профицит составлял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18813,41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тыс. руб.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Предложения: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1. </w:t>
      </w:r>
      <w:r>
        <w:rPr>
          <w:rFonts w:cs="Times New Roman" w:ascii="Times New Roman" w:hAnsi="Times New Roman"/>
          <w:color w:val="000000"/>
          <w:sz w:val="26"/>
          <w:szCs w:val="26"/>
        </w:rPr>
        <w:t>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соответствии с п.8.2  раздела 8 Положения о бюджетном процессе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постановлением Администрации утверждать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отчет об исполнении бюджета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за первый квартал, полугодие и девять месяцев.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Внести соответствующие изменения в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постановление  Администрации Ленинского муниципального района от 25.07.2025 №404 «Об исполнении бюджета Ленинского муниципального района за II квартал 2025 года».</w:t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2. Главным администраторам доходов бюджета района повысить эффективность работы по увеличению поступлений собственных доходов в бюджет района.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3. Главным распорядителям бюджетных средств принять более действенные меры к освоению поступивших бюджетных средств.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Председатель Контрольно-счетной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палаты Ленинского муниципального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района                                                                                                         Т.В.Мололкина </w:t>
      </w:r>
    </w:p>
    <w:p>
      <w:pPr>
        <w:pStyle w:val="Normal"/>
        <w:spacing w:before="0" w:after="200"/>
        <w:ind w:firstLine="709"/>
        <w:jc w:val="both"/>
        <w:rPr>
          <w:i/>
          <w:i/>
          <w:color w:val="000000"/>
          <w:szCs w:val="24"/>
        </w:rPr>
      </w:pPr>
      <w:r>
        <w:rPr>
          <w:i/>
          <w:color w:val="000000"/>
          <w:szCs w:val="24"/>
        </w:rPr>
      </w:r>
    </w:p>
    <w:sectPr>
      <w:footerReference w:type="default" r:id="rId3"/>
      <w:type w:val="nextPage"/>
      <w:pgSz w:w="11906" w:h="16838"/>
      <w:pgMar w:left="1531" w:right="624" w:gutter="0" w:header="0" w:top="567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Calibri Light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5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8</w:t>
    </w:r>
    <w:r>
      <w:rPr/>
      <w:fldChar w:fldCharType="end"/>
    </w:r>
    <w:bookmarkEnd w:id="0"/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1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ParagraphChar" w:customStyle="1">
    <w:name w:val="List Paragraph Char"/>
    <w:link w:val="12"/>
    <w:qFormat/>
    <w:locked/>
    <w:rsid w:val="009562a8"/>
    <w:rPr>
      <w:rFonts w:ascii="Calibri" w:hAnsi="Calibri" w:eastAsia="Calibri" w:cs="Times New Roman"/>
      <w:sz w:val="20"/>
      <w:szCs w:val="20"/>
      <w:lang w:eastAsia="ru-RU"/>
    </w:rPr>
  </w:style>
  <w:style w:type="character" w:styleId="CharAttribute2" w:customStyle="1">
    <w:name w:val="CharAttribute2"/>
    <w:uiPriority w:val="99"/>
    <w:qFormat/>
    <w:rsid w:val="009f6ad4"/>
    <w:rPr>
      <w:rFonts w:ascii="Times New Roman" w:hAnsi="Times New Roman" w:eastAsia="Times New Roman"/>
      <w:sz w:val="24"/>
    </w:rPr>
  </w:style>
  <w:style w:type="character" w:styleId="CharAttribute9" w:customStyle="1">
    <w:name w:val="CharAttribute9"/>
    <w:qFormat/>
    <w:rsid w:val="009f6ad4"/>
    <w:rPr>
      <w:rFonts w:ascii="Times New Roman" w:hAnsi="Times New Roman" w:eastAsia="Times New Roman"/>
    </w:rPr>
  </w:style>
  <w:style w:type="character" w:styleId="CharAttribute11" w:customStyle="1">
    <w:name w:val="CharAttribute11"/>
    <w:qFormat/>
    <w:rsid w:val="009f6ad4"/>
    <w:rPr>
      <w:rFonts w:ascii="Times New Roman" w:hAnsi="Times New Roman" w:eastAsia="Times New Roman"/>
      <w:b/>
    </w:rPr>
  </w:style>
  <w:style w:type="character" w:styleId="Style14" w:customStyle="1">
    <w:name w:val="Основной текст Знак"/>
    <w:basedOn w:val="DefaultParagraphFont"/>
    <w:qFormat/>
    <w:rsid w:val="009f6ad4"/>
    <w:rPr>
      <w:rFonts w:ascii="Calibri" w:hAnsi="Calibri" w:eastAsia="Calibri" w:cs="Times New Roman"/>
    </w:rPr>
  </w:style>
  <w:style w:type="character" w:styleId="Style15" w:customStyle="1">
    <w:name w:val="Основной текст с отступом Знак"/>
    <w:basedOn w:val="DefaultParagraphFont"/>
    <w:qFormat/>
    <w:rsid w:val="009f6ad4"/>
    <w:rPr>
      <w:rFonts w:ascii="Calibri" w:hAnsi="Calibri" w:eastAsia="Calibri" w:cs="Times New Roman"/>
      <w:sz w:val="24"/>
      <w:szCs w:val="24"/>
      <w:lang w:eastAsia="ru-RU"/>
    </w:rPr>
  </w:style>
  <w:style w:type="character" w:styleId="Style16" w:customStyle="1">
    <w:name w:val="Текст сноски Знак"/>
    <w:basedOn w:val="DefaultParagraphFont"/>
    <w:qFormat/>
    <w:rsid w:val="009f6ad4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7">
    <w:name w:val="Символ сноски"/>
    <w:qFormat/>
    <w:rsid w:val="009f6ad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544200"/>
    <w:rPr>
      <w:rFonts w:ascii="Segoe UI" w:hAnsi="Segoe UI" w:eastAsia="" w:cs="Segoe UI" w:eastAsiaTheme="minorEastAsia"/>
      <w:sz w:val="18"/>
      <w:szCs w:val="18"/>
      <w:lang w:eastAsia="ru-RU"/>
    </w:rPr>
  </w:style>
  <w:style w:type="character" w:styleId="Style19" w:customStyle="1">
    <w:name w:val="Гипертекстовая ссылка"/>
    <w:basedOn w:val="DefaultParagraphFont"/>
    <w:uiPriority w:val="99"/>
    <w:qFormat/>
    <w:rsid w:val="00237c81"/>
    <w:rPr>
      <w:color w:val="106BBE"/>
    </w:rPr>
  </w:style>
  <w:style w:type="character" w:styleId="Style20" w:customStyle="1">
    <w:name w:val="Верх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yle21" w:customStyle="1">
    <w:name w:val="Ниж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5241e"/>
    <w:rPr>
      <w:b/>
      <w:bCs/>
    </w:rPr>
  </w:style>
  <w:style w:type="character" w:styleId="Style22" w:customStyle="1">
    <w:name w:val="Подзаголовок Знак"/>
    <w:basedOn w:val="DefaultParagraphFont"/>
    <w:uiPriority w:val="11"/>
    <w:qFormat/>
    <w:rsid w:val="00b5241e"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rsid w:val="009f6ad4"/>
    <w:pPr>
      <w:spacing w:before="0" w:after="120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871e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f871e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Абзац списка1"/>
    <w:basedOn w:val="Normal"/>
    <w:link w:val="ListParagraphChar"/>
    <w:qFormat/>
    <w:rsid w:val="009562a8"/>
    <w:pPr>
      <w:spacing w:lineRule="auto" w:line="240" w:before="0" w:after="0"/>
      <w:ind w:left="720"/>
      <w:contextualSpacing/>
    </w:pPr>
    <w:rPr>
      <w:rFonts w:ascii="Calibri" w:hAnsi="Calibri" w:eastAsia="Calibri" w:cs="Times New Roman"/>
      <w:sz w:val="20"/>
      <w:szCs w:val="20"/>
    </w:rPr>
  </w:style>
  <w:style w:type="paragraph" w:styleId="BlockText">
    <w:name w:val="Block Text"/>
    <w:basedOn w:val="Normal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Rule="auto" w:line="240" w:before="0" w:after="0"/>
      <w:ind w:left="720" w:right="1075"/>
      <w:jc w:val="both"/>
    </w:pPr>
    <w:rPr>
      <w:rFonts w:ascii="Times New Roman" w:hAnsi="Times New Roman" w:eastAsia="Calibri" w:cs="Times New Roman"/>
      <w:b/>
      <w:bCs/>
      <w:i/>
      <w:iCs/>
      <w:sz w:val="28"/>
      <w:szCs w:val="24"/>
    </w:rPr>
  </w:style>
  <w:style w:type="paragraph" w:styleId="ParaAttribute2" w:customStyle="1">
    <w:name w:val="ParaAttribute2"/>
    <w:qFormat/>
    <w:rsid w:val="009f6ad4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9" w:customStyle="1">
    <w:name w:val="ParaAttribute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righ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11" w:customStyle="1">
    <w:name w:val="ParaAttribute11"/>
    <w:uiPriority w:val="9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8" w:customStyle="1">
    <w:name w:val="ParaAttribute8"/>
    <w:qFormat/>
    <w:rsid w:val="009f6ad4"/>
    <w:pPr>
      <w:widowControl/>
      <w:suppressAutoHyphens w:val="true"/>
      <w:bidi w:val="0"/>
      <w:spacing w:lineRule="auto" w:line="240" w:before="0" w:after="0"/>
      <w:ind w:firstLine="54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5"/>
    <w:rsid w:val="009f6ad4"/>
    <w:pPr>
      <w:spacing w:lineRule="auto" w:line="240" w:before="0" w:after="120"/>
      <w:ind w:left="283"/>
    </w:pPr>
    <w:rPr>
      <w:rFonts w:ascii="Calibri" w:hAnsi="Calibri" w:eastAsia="Calibri" w:cs="Times New Roman"/>
      <w:sz w:val="24"/>
      <w:szCs w:val="24"/>
    </w:rPr>
  </w:style>
  <w:style w:type="paragraph" w:styleId="ConsPlusNormal" w:customStyle="1">
    <w:name w:val="ConsPlusNormal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6"/>
      <w:lang w:val="ru-RU" w:eastAsia="ru-RU" w:bidi="ar-SA"/>
    </w:rPr>
  </w:style>
  <w:style w:type="paragraph" w:styleId="FootnoteText">
    <w:name w:val="Footnote Text"/>
    <w:basedOn w:val="Normal"/>
    <w:link w:val="Style16"/>
    <w:rsid w:val="009f6ad4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54420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019"/>
    <w:pPr>
      <w:spacing w:before="0" w:after="200"/>
      <w:ind w:left="720"/>
      <w:contextualSpacing/>
    </w:pPr>
    <w:rPr/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link w:val="Style20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1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 w:customStyle="1">
    <w:name w:val="Комментарий"/>
    <w:basedOn w:val="Normal"/>
    <w:next w:val="Normal"/>
    <w:uiPriority w:val="99"/>
    <w:qFormat/>
    <w:rsid w:val="0006054b"/>
    <w:pPr>
      <w:spacing w:lineRule="auto" w:line="240" w:before="75" w:after="0"/>
      <w:ind w:left="170"/>
      <w:jc w:val="both"/>
    </w:pPr>
    <w:rPr>
      <w:rFonts w:ascii="Arial" w:hAnsi="Arial" w:eastAsia="Calibri" w:cs="Arial" w:eastAsiaTheme="minorHAnsi"/>
      <w:color w:val="353842"/>
      <w:sz w:val="24"/>
      <w:szCs w:val="24"/>
      <w:shd w:fill="F0F0F0" w:val="clear"/>
      <w:lang w:eastAsia="en-US"/>
    </w:rPr>
  </w:style>
  <w:style w:type="paragraph" w:styleId="Subtitle">
    <w:name w:val="Subtitle"/>
    <w:basedOn w:val="Normal"/>
    <w:next w:val="Normal"/>
    <w:link w:val="Style22"/>
    <w:uiPriority w:val="11"/>
    <w:qFormat/>
    <w:rsid w:val="00b5241e"/>
    <w:pPr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  <w:lang w:eastAsia="en-US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FA7BF-E8C1-4F06-9CB1-2860C926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9278</TotalTime>
  <Application>LibreOffice/7.6.0.3$Linux_X86_64 LibreOffice_project/60$Build-3</Application>
  <AppVersion>15.0000</AppVersion>
  <Pages>8</Pages>
  <Words>2875</Words>
  <Characters>17974</Characters>
  <CharactersWithSpaces>20736</CharactersWithSpaces>
  <Paragraphs>483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2018-03-23T12:11:00Z</dcterms:created>
  <dc:creator>Администратор</dc:creator>
  <dc:description/>
  <dc:language>ru-RU</dc:language>
  <cp:lastModifiedBy/>
  <cp:lastPrinted>2025-08-14T11:14:57Z</cp:lastPrinted>
  <dcterms:modified xsi:type="dcterms:W3CDTF">2025-08-14T11:21:27Z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