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b/>
          <w:sz w:val="28"/>
          <w:szCs w:val="28"/>
        </w:rPr>
      </w:pPr>
      <w:r>
        <w:rPr/>
        <w:drawing>
          <wp:inline distT="0" distB="0" distL="0" distR="0">
            <wp:extent cx="498475" cy="628015"/>
            <wp:effectExtent l="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10020" w:type="dxa"/>
        <w:jc w:val="left"/>
        <w:tblInd w:w="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 w:noHBand="0" w:noVBand="0" w:firstColumn="0" w:lastRow="0" w:lastColumn="0" w:firstRow="0"/>
      </w:tblPr>
      <w:tblGrid>
        <w:gridCol w:w="3889"/>
        <w:gridCol w:w="5005"/>
        <w:gridCol w:w="1125"/>
      </w:tblGrid>
      <w:tr>
        <w:trPr>
          <w:trHeight w:val="372" w:hRule="atLeast"/>
          <w:cantSplit w:val="true"/>
        </w:trPr>
        <w:tc>
          <w:tcPr>
            <w:tcW w:w="8894" w:type="dxa"/>
            <w:gridSpan w:val="2"/>
            <w:tcBorders/>
          </w:tcPr>
          <w:p>
            <w:pPr>
              <w:pStyle w:val="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  <w:tc>
          <w:tcPr>
            <w:tcW w:w="1125" w:type="dxa"/>
            <w:tcBorders/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  <w:tr>
        <w:trPr>
          <w:trHeight w:val="938" w:hRule="atLeast"/>
          <w:cantSplit w:val="true"/>
        </w:trPr>
        <w:tc>
          <w:tcPr>
            <w:tcW w:w="8894" w:type="dxa"/>
            <w:gridSpan w:val="2"/>
            <w:tcBorders>
              <w:bottom w:val="thinThickSmallGap" w:sz="18" w:space="0" w:color="000000"/>
            </w:tcBorders>
          </w:tcPr>
          <w:p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Ленинского муниципального района  Волгоградской области</w:t>
            </w:r>
          </w:p>
          <w:p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 xml:space="preserve"> </w:t>
            </w:r>
            <w:r>
              <w:rPr>
                <w:rFonts w:ascii="Cambria" w:hAnsi="Cambria"/>
                <w:b/>
                <w:sz w:val="22"/>
                <w:szCs w:val="22"/>
              </w:rPr>
              <w:t>ИНН 3415000099 КПП 341501001 ОГРН 1103454000561</w:t>
            </w:r>
          </w:p>
          <w:p>
            <w:pPr>
              <w:pStyle w:val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тел</w:t>
            </w:r>
            <w:r>
              <w:rPr>
                <w:sz w:val="22"/>
                <w:szCs w:val="22"/>
                <w:lang w:val="en-US"/>
              </w:rPr>
              <w:t>. 8-84478-42747, e-mail: mololkina60@mail.ru</w:t>
            </w:r>
          </w:p>
        </w:tc>
        <w:tc>
          <w:tcPr>
            <w:tcW w:w="1125" w:type="dxa"/>
            <w:tcBorders/>
          </w:tcPr>
          <w:p>
            <w:pPr>
              <w:pStyle w:val="Normal"/>
              <w:spacing w:before="0" w:after="200"/>
              <w:rPr>
                <w:lang w:val="en-US"/>
              </w:rPr>
            </w:pPr>
            <w:r>
              <w:rPr>
                <w:lang w:val="en-US"/>
              </w:rPr>
            </w:r>
          </w:p>
        </w:tc>
      </w:tr>
      <w:tr>
        <w:trPr>
          <w:trHeight w:val="1117" w:hRule="atLeast"/>
        </w:trPr>
        <w:tc>
          <w:tcPr>
            <w:tcW w:w="3889" w:type="dxa"/>
            <w:tcBorders>
              <w:top w:val="thinThickSmallGap" w:sz="18" w:space="0" w:color="000000"/>
            </w:tcBorders>
          </w:tcPr>
          <w:p>
            <w:pPr>
              <w:pStyle w:val="11"/>
              <w:ind w:right="-4083"/>
              <w:rPr>
                <w:color w:themeColor="text1" w:val="000000"/>
                <w:sz w:val="26"/>
                <w:szCs w:val="26"/>
                <w:lang w:val="en-US"/>
              </w:rPr>
            </w:pPr>
            <w:r>
              <w:rPr>
                <w:color w:themeColor="text1" w:val="000000"/>
                <w:sz w:val="26"/>
                <w:szCs w:val="26"/>
              </w:rPr>
              <w:t>№</w:t>
            </w:r>
            <w:r>
              <w:rPr>
                <w:color w:themeColor="text1" w:val="000000"/>
                <w:sz w:val="26"/>
                <w:szCs w:val="26"/>
              </w:rPr>
              <w:t>57/725</w:t>
            </w:r>
          </w:p>
          <w:p>
            <w:pPr>
              <w:pStyle w:val="11"/>
              <w:rPr>
                <w:color w:themeColor="text1" w:val="000000"/>
                <w:sz w:val="26"/>
                <w:szCs w:val="26"/>
              </w:rPr>
            </w:pPr>
            <w:r>
              <w:rPr>
                <w:color w:themeColor="text1" w:val="000000"/>
                <w:sz w:val="26"/>
                <w:szCs w:val="26"/>
              </w:rPr>
            </w:r>
          </w:p>
          <w:p>
            <w:pPr>
              <w:pStyle w:val="11"/>
              <w:rPr>
                <w:color w:themeColor="text1" w:val="000000"/>
                <w:sz w:val="26"/>
                <w:szCs w:val="26"/>
              </w:rPr>
            </w:pPr>
            <w:r>
              <w:rPr>
                <w:color w:themeColor="text1" w:val="000000"/>
                <w:sz w:val="26"/>
                <w:szCs w:val="26"/>
              </w:rPr>
            </w:r>
          </w:p>
        </w:tc>
        <w:tc>
          <w:tcPr>
            <w:tcW w:w="6130" w:type="dxa"/>
            <w:gridSpan w:val="2"/>
            <w:tcBorders>
              <w:top w:val="thinThickSmallGap" w:sz="18" w:space="0" w:color="000000"/>
            </w:tcBorders>
          </w:tcPr>
          <w:p>
            <w:pPr>
              <w:pStyle w:val="Normal"/>
              <w:spacing w:before="0" w:after="200"/>
              <w:ind w:right="-344"/>
              <w:jc w:val="center"/>
              <w:rPr>
                <w:rFonts w:ascii="Times New Roman" w:hAnsi="Times New Roman" w:cs="Times New Roman"/>
                <w:color w:themeColor="text1" w:val="000000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color w:themeColor="text1" w:val="000000"/>
                <w:sz w:val="26"/>
                <w:szCs w:val="26"/>
              </w:rPr>
              <w:t xml:space="preserve">                                                                </w:t>
            </w:r>
            <w:r>
              <w:rPr>
                <w:rFonts w:cs="Times New Roman" w:ascii="Times New Roman" w:hAnsi="Times New Roman"/>
                <w:color w:themeColor="text1" w:val="000000"/>
                <w:sz w:val="26"/>
                <w:szCs w:val="26"/>
              </w:rPr>
              <w:t>30.09.2025г.</w:t>
            </w:r>
          </w:p>
        </w:tc>
      </w:tr>
    </w:tbl>
    <w:p>
      <w:pPr>
        <w:pStyle w:val="Normal"/>
        <w:spacing w:lineRule="auto" w:line="240" w:before="0" w:after="0"/>
        <w:jc w:val="center"/>
        <w:rPr>
          <w:color w:val="000000"/>
          <w:sz w:val="25"/>
          <w:szCs w:val="25"/>
        </w:rPr>
      </w:pPr>
      <w:r>
        <w:rPr>
          <w:rFonts w:ascii="Nimbus Roman" w:hAnsi="Nimbus Roman"/>
          <w:b/>
          <w:color w:val="000000"/>
          <w:sz w:val="25"/>
          <w:szCs w:val="25"/>
        </w:rPr>
        <w:t xml:space="preserve">Заключение </w:t>
      </w:r>
    </w:p>
    <w:p>
      <w:pPr>
        <w:pStyle w:val="Normal"/>
        <w:spacing w:lineRule="auto" w:line="240" w:before="0" w:after="0"/>
        <w:jc w:val="center"/>
        <w:rPr>
          <w:color w:val="000000"/>
          <w:sz w:val="25"/>
          <w:szCs w:val="25"/>
        </w:rPr>
      </w:pPr>
      <w:r>
        <w:rPr>
          <w:rFonts w:cs="Times New Roman" w:ascii="Nimbus Roman" w:hAnsi="Nimbus Roman"/>
          <w:b/>
          <w:color w:val="000000"/>
          <w:sz w:val="25"/>
          <w:szCs w:val="25"/>
        </w:rPr>
        <w:t>по итогам финансово — экономической экспертизы проекта постановления администрации Ленинского муниципального района «О внесении изменений в постановление администрации Ленинского муниципального района Волгоградской области от 04.10.2017 №466 «Об утверждении муниципальной  программы Ленинского муниципального района  «Развитие агропромышленного комплекса Ленинского  муниципального района»</w:t>
      </w:r>
      <w:r>
        <w:rPr>
          <w:rFonts w:cs="Times New Roman" w:ascii="Nimbus Roman" w:hAnsi="Nimbus Roman"/>
          <w:b/>
          <w:bCs/>
          <w:color w:val="000000"/>
          <w:sz w:val="25"/>
          <w:szCs w:val="25"/>
        </w:rPr>
        <w:t xml:space="preserve"> (</w:t>
      </w:r>
      <w:r>
        <w:rPr>
          <w:rFonts w:cs="Times New Roman" w:ascii="Nimbus Roman" w:hAnsi="Nimbus Roman"/>
          <w:color w:val="000000"/>
          <w:sz w:val="25"/>
          <w:szCs w:val="25"/>
        </w:rPr>
        <w:t>в редакции постановлений от 26.06.2018 №391, от 30.11.2018 №676, от 23.04.2019 №179, от 30.09.2019г. №504, от 22.11.2019г. №645, от 30.12.2019г. №744,  от 15.04.2020 №173, от 12.05.2020 №221, от 11.06.2020 №260, от 03.08.2020 №346, от 25.12.2020 №639, от 11.05.2021 №260, от 18.06.2021 №323, от 29.12.2021 №677, от 04.03.2022 №102, от 08.07.2022 №343, от 01.12.2022 №604, от 07.03.2023 №99, от 05.07.2023 №301, от 24.08.2023 №393, от 16.01.2024 №6, от 14.02.2024 №43,  от 16.07.2024 №276, 03.12.2024 №513, от 20.02.2025 №59, от 03.04.2025 №167, от 01.07.2025 №342).</w:t>
      </w:r>
    </w:p>
    <w:p>
      <w:pPr>
        <w:pStyle w:val="Normal"/>
        <w:spacing w:lineRule="auto" w:line="240" w:before="0" w:after="0"/>
        <w:jc w:val="center"/>
        <w:rPr>
          <w:rFonts w:ascii="Nimbus Roman" w:hAnsi="Nimbus Roman" w:cs="Times New Roman"/>
          <w:b/>
          <w:color w:val="000000"/>
          <w:sz w:val="25"/>
          <w:szCs w:val="25"/>
        </w:rPr>
      </w:pPr>
      <w:r>
        <w:rPr>
          <w:rFonts w:cs="Times New Roman" w:ascii="Nimbus Roman" w:hAnsi="Nimbus Roman"/>
          <w:b/>
          <w:color w:val="000000"/>
          <w:sz w:val="25"/>
          <w:szCs w:val="25"/>
        </w:rPr>
      </w:r>
    </w:p>
    <w:p>
      <w:pPr>
        <w:pStyle w:val="Normal"/>
        <w:spacing w:lineRule="auto" w:line="240" w:before="0" w:after="0"/>
        <w:contextualSpacing/>
        <w:jc w:val="both"/>
        <w:rPr>
          <w:color w:val="000000"/>
          <w:sz w:val="25"/>
          <w:szCs w:val="25"/>
        </w:rPr>
      </w:pPr>
      <w:r>
        <w:rPr>
          <w:rFonts w:cs="Times New Roman" w:ascii="Nimbus Roman" w:hAnsi="Nimbus Roman"/>
          <w:color w:val="000000"/>
          <w:sz w:val="25"/>
          <w:szCs w:val="25"/>
        </w:rPr>
        <w:tab/>
      </w:r>
      <w:r>
        <w:rPr>
          <w:rFonts w:cs="Times New Roman" w:ascii="Nimbus Roman" w:hAnsi="Nimbus Roman"/>
          <w:color w:val="000000"/>
          <w:sz w:val="25"/>
          <w:szCs w:val="25"/>
        </w:rPr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30.11.2021 №20/63,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</w:t>
      </w:r>
      <w:r>
        <w:rPr>
          <w:rFonts w:eastAsia="Times New Roman" w:cs="Times New Roman" w:ascii="Nimbus Roman" w:hAnsi="Nimbus Roman"/>
          <w:color w:val="000000"/>
          <w:sz w:val="25"/>
          <w:szCs w:val="25"/>
        </w:rPr>
        <w:t xml:space="preserve">Постановления Администрации Ленинского муниципального района от 25.09.2018г. №573 «Об утверждении Порядка </w:t>
      </w:r>
      <w:r>
        <w:rPr>
          <w:rFonts w:cs="Times New Roman" w:ascii="Nimbus Roman" w:hAnsi="Nimbus Roman"/>
          <w:color w:val="000000"/>
          <w:sz w:val="25"/>
          <w:szCs w:val="25"/>
        </w:rPr>
        <w:t>разработки,  реализации и оценки эффективности реализации муниципальных программ  Ленинского муниципального района Волгоградской области»</w:t>
      </w:r>
      <w:r>
        <w:rPr>
          <w:rFonts w:eastAsia="Times New Roman" w:cs="Times New Roman" w:ascii="Nimbus Roman" w:hAnsi="Nimbus Roman"/>
          <w:color w:val="000000"/>
          <w:sz w:val="25"/>
          <w:szCs w:val="25"/>
        </w:rPr>
        <w:t xml:space="preserve">, </w:t>
      </w:r>
      <w:r>
        <w:rPr>
          <w:rFonts w:cs="Times New Roman" w:ascii="Nimbus Roman" w:hAnsi="Nimbus Roman"/>
          <w:color w:val="000000"/>
          <w:sz w:val="25"/>
          <w:szCs w:val="25"/>
        </w:rPr>
        <w:t xml:space="preserve">плана работы Контрольно-счетной палаты  Ленинского муниципального района  на 2025 год и распоряжения  на проведение экспертизы №50-р от 29.09.2025г. Контрольно-счётной палатой Ленинского муниципального района проведена экспертиза проекта постановления администрации Ленинского муниципального района «О внесении изменений в постановление администрации Ленинского муниципального района Волгоградской области от 04.10.2017 №466 «Об утверждении муниципальной программы Ленинского муниципального района </w:t>
      </w:r>
      <w:r>
        <w:rPr>
          <w:rFonts w:cs="Times New Roman" w:ascii="Nimbus Roman" w:hAnsi="Nimbus Roman"/>
          <w:b/>
          <w:color w:val="000000"/>
          <w:sz w:val="25"/>
          <w:szCs w:val="25"/>
        </w:rPr>
        <w:t>«</w:t>
      </w:r>
      <w:r>
        <w:rPr>
          <w:rFonts w:cs="Times New Roman" w:ascii="Nimbus Roman" w:hAnsi="Nimbus Roman"/>
          <w:color w:val="000000"/>
          <w:sz w:val="25"/>
          <w:szCs w:val="25"/>
        </w:rPr>
        <w:t>Развитие</w:t>
      </w:r>
      <w:r>
        <w:rPr>
          <w:rFonts w:cs="Times New Roman" w:ascii="Nimbus Roman" w:hAnsi="Nimbus Roman"/>
          <w:b/>
          <w:color w:val="000000"/>
          <w:sz w:val="25"/>
          <w:szCs w:val="25"/>
        </w:rPr>
        <w:t xml:space="preserve"> </w:t>
      </w:r>
      <w:r>
        <w:rPr>
          <w:rFonts w:cs="Times New Roman" w:ascii="Nimbus Roman" w:hAnsi="Nimbus Roman"/>
          <w:color w:val="000000"/>
          <w:sz w:val="25"/>
          <w:szCs w:val="25"/>
        </w:rPr>
        <w:t>агропромышленного комплекса</w:t>
      </w:r>
      <w:r>
        <w:rPr>
          <w:rFonts w:cs="Times New Roman" w:ascii="Nimbus Roman" w:hAnsi="Nimbus Roman"/>
          <w:b/>
          <w:color w:val="000000"/>
          <w:sz w:val="25"/>
          <w:szCs w:val="25"/>
        </w:rPr>
        <w:t xml:space="preserve"> </w:t>
      </w:r>
      <w:r>
        <w:rPr>
          <w:rFonts w:cs="Times New Roman" w:ascii="Nimbus Roman" w:hAnsi="Nimbus Roman"/>
          <w:color w:val="000000"/>
          <w:sz w:val="25"/>
          <w:szCs w:val="25"/>
        </w:rPr>
        <w:t>Ленинского муниципального района» (далее – проект Постановления, проект).</w:t>
      </w:r>
    </w:p>
    <w:p>
      <w:pPr>
        <w:pStyle w:val="Normal"/>
        <w:spacing w:lineRule="auto" w:line="240" w:before="0" w:after="0"/>
        <w:contextualSpacing/>
        <w:jc w:val="both"/>
        <w:rPr>
          <w:color w:val="000000"/>
          <w:sz w:val="25"/>
          <w:szCs w:val="25"/>
        </w:rPr>
      </w:pPr>
      <w:r>
        <w:rPr>
          <w:rFonts w:cs="Times New Roman" w:ascii="Nimbus Roman" w:hAnsi="Nimbus Roman"/>
          <w:color w:val="000000"/>
          <w:sz w:val="25"/>
          <w:szCs w:val="25"/>
        </w:rPr>
        <w:tab/>
        <w:t>В соответствии со ст. 179 Бюджетного кодекса РФ от 31.07.1998г. № 145-ФЗ «муниципальные программы утверждаются местной администрацией муниципального образования. Порядок принятия решений о разработке муниципальных программ и формировании и реализаций муниципальных программ устанавливается муниципальным правовым актом местной администрации муниципального образования».</w:t>
      </w:r>
    </w:p>
    <w:p>
      <w:pPr>
        <w:pStyle w:val="Normal"/>
        <w:spacing w:lineRule="auto" w:line="240" w:before="0" w:after="0"/>
        <w:contextualSpacing/>
        <w:jc w:val="both"/>
        <w:rPr>
          <w:color w:val="000000"/>
          <w:sz w:val="25"/>
          <w:szCs w:val="25"/>
        </w:rPr>
      </w:pPr>
      <w:r>
        <w:rPr>
          <w:rFonts w:cs="Times New Roman" w:ascii="Nimbus Roman" w:hAnsi="Nimbus Roman"/>
          <w:color w:val="000000"/>
          <w:sz w:val="25"/>
          <w:szCs w:val="25"/>
        </w:rPr>
        <w:tab/>
        <w:t>Постановлением администрации Ленинского муниципального района от 25.09.2018г. № 573 утвержден Порядок разработки, реализации и оценки эффективности реализации муниципальных программ Ленинского муниципального района Волгоградской области (далее – Порядок, утвержденный Постановлением №573).</w:t>
      </w:r>
    </w:p>
    <w:p>
      <w:pPr>
        <w:pStyle w:val="Normal"/>
        <w:spacing w:lineRule="auto" w:line="240" w:before="0" w:after="0"/>
        <w:contextualSpacing/>
        <w:jc w:val="both"/>
        <w:rPr>
          <w:color w:val="000000"/>
          <w:sz w:val="25"/>
          <w:szCs w:val="25"/>
        </w:rPr>
      </w:pPr>
      <w:r>
        <w:rPr>
          <w:rFonts w:cs="Times New Roman" w:ascii="Nimbus Roman" w:hAnsi="Nimbus Roman"/>
          <w:color w:val="000000"/>
          <w:sz w:val="25"/>
          <w:szCs w:val="25"/>
        </w:rPr>
        <w:tab/>
        <w:t>Согласно Порядка, утвержденного Постановлением №573 «муниципальной программой Ленинского муниципального района является документ стратегического планирования, содержащий  комплекс планируемых мероприятий, взаимоувязанных по задачам, срокам осуществления, исполнителям, ресурсам и обеспечивающих наиболее  эффективное достижение целей и решение задач социально-экономического развития Ленинского муниципального района».</w:t>
      </w:r>
    </w:p>
    <w:p>
      <w:pPr>
        <w:pStyle w:val="Normal"/>
        <w:spacing w:lineRule="auto" w:line="240" w:before="0" w:after="0"/>
        <w:jc w:val="both"/>
        <w:rPr>
          <w:color w:val="000000"/>
          <w:sz w:val="25"/>
          <w:szCs w:val="25"/>
        </w:rPr>
      </w:pPr>
      <w:r>
        <w:rPr>
          <w:rFonts w:cs="Times New Roman" w:ascii="Nimbus Roman" w:hAnsi="Nimbus Roman"/>
          <w:color w:val="000000"/>
          <w:sz w:val="25"/>
          <w:szCs w:val="25"/>
        </w:rPr>
        <w:tab/>
      </w:r>
      <w:r>
        <w:rPr>
          <w:rFonts w:eastAsia="Times New Roman" w:cs="Times New Roman" w:ascii="Nimbus Roman" w:hAnsi="Nimbus Roman"/>
          <w:color w:val="000000"/>
          <w:sz w:val="25"/>
          <w:szCs w:val="25"/>
        </w:rPr>
        <w:t xml:space="preserve">Экспертиза проведена на предмет соответствия изменений, вносимых в </w:t>
      </w:r>
      <w:r>
        <w:rPr>
          <w:rFonts w:cs="Times New Roman" w:ascii="Nimbus Roman" w:hAnsi="Nimbus Roman"/>
          <w:color w:val="000000"/>
          <w:sz w:val="25"/>
          <w:szCs w:val="25"/>
        </w:rPr>
        <w:t xml:space="preserve">муниципальную программу Ленинского муниципального района </w:t>
      </w:r>
      <w:r>
        <w:rPr>
          <w:rFonts w:cs="Times New Roman" w:ascii="Nimbus Roman" w:hAnsi="Nimbus Roman"/>
          <w:b/>
          <w:color w:val="000000"/>
          <w:sz w:val="25"/>
          <w:szCs w:val="25"/>
        </w:rPr>
        <w:t>«</w:t>
      </w:r>
      <w:r>
        <w:rPr>
          <w:rFonts w:cs="Times New Roman" w:ascii="Nimbus Roman" w:hAnsi="Nimbus Roman"/>
          <w:color w:val="000000"/>
          <w:sz w:val="25"/>
          <w:szCs w:val="25"/>
        </w:rPr>
        <w:t>Развитие</w:t>
      </w:r>
      <w:r>
        <w:rPr>
          <w:rFonts w:cs="Times New Roman" w:ascii="Nimbus Roman" w:hAnsi="Nimbus Roman"/>
          <w:b/>
          <w:color w:val="000000"/>
          <w:sz w:val="25"/>
          <w:szCs w:val="25"/>
        </w:rPr>
        <w:t xml:space="preserve"> </w:t>
      </w:r>
      <w:r>
        <w:rPr>
          <w:rFonts w:cs="Times New Roman" w:ascii="Nimbus Roman" w:hAnsi="Nimbus Roman"/>
          <w:color w:val="000000"/>
          <w:sz w:val="25"/>
          <w:szCs w:val="25"/>
        </w:rPr>
        <w:t>агропромышленного комплекса</w:t>
      </w:r>
      <w:r>
        <w:rPr>
          <w:rFonts w:cs="Times New Roman" w:ascii="Nimbus Roman" w:hAnsi="Nimbus Roman"/>
          <w:b/>
          <w:color w:val="000000"/>
          <w:sz w:val="25"/>
          <w:szCs w:val="25"/>
        </w:rPr>
        <w:t xml:space="preserve"> </w:t>
      </w:r>
      <w:r>
        <w:rPr>
          <w:rFonts w:cs="Times New Roman" w:ascii="Nimbus Roman" w:hAnsi="Nimbus Roman"/>
          <w:color w:val="000000"/>
          <w:sz w:val="25"/>
          <w:szCs w:val="25"/>
        </w:rPr>
        <w:t xml:space="preserve">Ленинского муниципального района» (далее – </w:t>
      </w:r>
      <w:r>
        <w:rPr>
          <w:rFonts w:eastAsia="Times New Roman" w:cs="Times New Roman" w:ascii="Nimbus Roman" w:hAnsi="Nimbus Roman"/>
          <w:color w:val="000000"/>
          <w:sz w:val="25"/>
          <w:szCs w:val="25"/>
        </w:rPr>
        <w:t>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а также Порядку, утвержденному Постановлением №573.</w:t>
      </w:r>
    </w:p>
    <w:p>
      <w:pPr>
        <w:pStyle w:val="Normal"/>
        <w:spacing w:lineRule="auto" w:line="240" w:before="0" w:after="0"/>
        <w:ind w:firstLine="680"/>
        <w:jc w:val="both"/>
        <w:rPr>
          <w:color w:val="000000"/>
          <w:sz w:val="25"/>
          <w:szCs w:val="25"/>
        </w:rPr>
      </w:pPr>
      <w:r>
        <w:rPr>
          <w:rFonts w:eastAsia="Times New Roman" w:cs="Times New Roman" w:ascii="Nimbus Roman" w:hAnsi="Nimbus Roman"/>
          <w:color w:val="000000"/>
          <w:sz w:val="25"/>
          <w:szCs w:val="25"/>
        </w:rPr>
        <w:t xml:space="preserve">В Контрольно-счетную палату с письмом Отдела по сельскому хозяйству и продовольствию администрации Ленинского муниципального района  от 09.09.2025 №130, согласно п.4.9. Порядка, утвержденного Постановлением №573, представлены: проект Постановления,  проект паспорта Программы, </w:t>
      </w:r>
      <w:r>
        <w:rPr>
          <w:rFonts w:cs="Times New Roman" w:ascii="Nimbus Roman" w:hAnsi="Nimbus Roman"/>
          <w:color w:val="000000"/>
          <w:sz w:val="25"/>
          <w:szCs w:val="25"/>
        </w:rPr>
        <w:t xml:space="preserve">пояснительная записка к изменениям  в Программу, </w:t>
      </w:r>
      <w:r>
        <w:rPr>
          <w:rFonts w:eastAsia="Times New Roman" w:cs="Times New Roman" w:ascii="Nimbus Roman" w:hAnsi="Nimbus Roman"/>
          <w:color w:val="000000"/>
          <w:sz w:val="25"/>
          <w:szCs w:val="25"/>
        </w:rPr>
        <w:t xml:space="preserve">бланк согласования проекта постановления со структурными подразделениями администрации Ленинского муниципального района и соисполнителями Программы; заключение Отдела экономики к проекту муниципальной программы; заключение Финансового отдела к проекту муниципальной программы, оценка вклада Программы в социально-экономическое развитие Ленинского муниципального района за 2024 год; </w:t>
      </w:r>
      <w:r>
        <w:rPr>
          <w:rFonts w:ascii="Nimbus Roman" w:hAnsi="Nimbus Roman"/>
          <w:color w:val="000000"/>
          <w:sz w:val="25"/>
          <w:szCs w:val="25"/>
        </w:rPr>
        <w:t xml:space="preserve">финансово-экономическое обоснование с указанием факторов риска, оказывающие существенное влияние на сроки и результаты реализации Программы; </w:t>
      </w:r>
      <w:r>
        <w:rPr>
          <w:rFonts w:eastAsia="Times New Roman" w:cs="Times New Roman" w:ascii="Nimbus Roman" w:hAnsi="Nimbus Roman"/>
          <w:color w:val="000000"/>
          <w:sz w:val="25"/>
          <w:szCs w:val="25"/>
        </w:rPr>
        <w:t>обоснование результативности бюджетных расходов к проекту Программы на весь срок реализации.</w:t>
      </w:r>
    </w:p>
    <w:p>
      <w:pPr>
        <w:pStyle w:val="Normal"/>
        <w:spacing w:lineRule="auto" w:line="240" w:before="0" w:after="0"/>
        <w:jc w:val="both"/>
        <w:rPr>
          <w:color w:val="000000"/>
          <w:sz w:val="25"/>
          <w:szCs w:val="25"/>
        </w:rPr>
      </w:pPr>
      <w:r>
        <w:rPr>
          <w:rFonts w:eastAsia="Times New Roman" w:cs="Times New Roman" w:ascii="Tempora LGC Uni" w:hAnsi="Tempora LGC Uni"/>
          <w:color w:val="000000"/>
          <w:sz w:val="25"/>
          <w:szCs w:val="25"/>
        </w:rPr>
        <w:tab/>
        <w:t>В ходе подготовки заключения был  проанализирован проект Постановления, замечания к проекту отсутствуют.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  <w:sz w:val="25"/>
          <w:szCs w:val="25"/>
        </w:rPr>
      </w:pPr>
      <w:r>
        <w:rPr>
          <w:rFonts w:eastAsia="Times New Roman" w:cs="Times New Roman" w:ascii="Tempora LGC Uni" w:hAnsi="Tempora LGC Uni"/>
          <w:color w:val="000000"/>
          <w:sz w:val="25"/>
          <w:szCs w:val="25"/>
        </w:rPr>
        <w:t>Согласно действующего паспорта Программы: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  <w:sz w:val="25"/>
          <w:szCs w:val="25"/>
        </w:rPr>
      </w:pPr>
      <w:r>
        <w:rPr>
          <w:rFonts w:cs="Times New Roman" w:ascii="Tempora LGC Uni" w:hAnsi="Tempora LGC Uni"/>
          <w:b/>
          <w:color w:val="000000"/>
          <w:sz w:val="25"/>
          <w:szCs w:val="25"/>
        </w:rPr>
        <w:t>Ответственным исполнителем Программы</w:t>
      </w:r>
      <w:r>
        <w:rPr>
          <w:rFonts w:cs="Times New Roman" w:ascii="Tempora LGC Uni" w:hAnsi="Tempora LGC Uni"/>
          <w:color w:val="000000"/>
          <w:sz w:val="25"/>
          <w:szCs w:val="25"/>
        </w:rPr>
        <w:t xml:space="preserve"> является отдел по сельскому хозяйству и продовольствию администрации Ленинского муниципального района.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  <w:sz w:val="25"/>
          <w:szCs w:val="25"/>
        </w:rPr>
      </w:pPr>
      <w:r>
        <w:rPr>
          <w:rFonts w:cs="Times New Roman" w:ascii="Tempora LGC Uni" w:hAnsi="Tempora LGC Uni"/>
          <w:b/>
          <w:color w:val="000000"/>
          <w:sz w:val="25"/>
          <w:szCs w:val="25"/>
        </w:rPr>
        <w:t xml:space="preserve">Соисполнителями Программы являются: </w:t>
      </w:r>
      <w:r>
        <w:rPr>
          <w:rFonts w:cs="Times New Roman" w:ascii="Tempora LGC Uni" w:hAnsi="Tempora LGC Uni"/>
          <w:color w:val="000000"/>
          <w:sz w:val="25"/>
          <w:szCs w:val="25"/>
        </w:rPr>
        <w:t>Отдел по жизнеобеспечению администрации Ленинского муниципального района, Отдел по управлению муниципальным имуществом и землепользованию администрации Ленинского муниципального района, АО «Птицефабрика Волжская», КТ «Фролов и К», СПК «Ахтуба», СПК «Престиж», СПК «Овощное», СПССК «Молре», ООО «Агро-Юг», ООО «Кухмастер», КФХ, ИП главы К(Ф)Х, ИП.</w:t>
      </w:r>
    </w:p>
    <w:p>
      <w:pPr>
        <w:pStyle w:val="NoSpacing"/>
        <w:jc w:val="both"/>
        <w:rPr>
          <w:color w:val="000000"/>
          <w:sz w:val="25"/>
          <w:szCs w:val="25"/>
        </w:rPr>
      </w:pPr>
      <w:r>
        <w:rPr>
          <w:rFonts w:ascii="Tempora LGC Uni" w:hAnsi="Tempora LGC Uni"/>
          <w:color w:val="000000"/>
          <w:sz w:val="25"/>
          <w:szCs w:val="25"/>
        </w:rPr>
        <w:tab/>
      </w:r>
      <w:r>
        <w:rPr>
          <w:rFonts w:ascii="Tempora LGC Uni" w:hAnsi="Tempora LGC Uni"/>
          <w:b/>
          <w:color w:val="000000"/>
          <w:sz w:val="25"/>
          <w:szCs w:val="25"/>
        </w:rPr>
        <w:t xml:space="preserve">Целями Программы являются: </w:t>
      </w:r>
      <w:r>
        <w:rPr>
          <w:rFonts w:ascii="Tempora LGC Uni" w:hAnsi="Tempora LGC Uni"/>
          <w:color w:val="000000"/>
          <w:sz w:val="25"/>
          <w:szCs w:val="25"/>
        </w:rPr>
        <w:t>обеспечение устойчивого функционирования и развития агропромышленного комплекса района на основе финансовой устойчивости и модернизации сельского хозяйства; увеличение объемов производства сельскохозяйственной продукции; повышение конкурентоспособности местной сельскохозяйственной продукции; повышение эффективности и рационального использования в сельском хозяйстве земельных ресурсов.</w:t>
      </w:r>
    </w:p>
    <w:p>
      <w:pPr>
        <w:pStyle w:val="NoSpacing"/>
        <w:jc w:val="both"/>
        <w:rPr>
          <w:color w:val="000000"/>
          <w:sz w:val="25"/>
          <w:szCs w:val="25"/>
        </w:rPr>
      </w:pPr>
      <w:r>
        <w:rPr>
          <w:rFonts w:ascii="Nimbus Roman" w:hAnsi="Nimbus Roman"/>
          <w:color w:val="000000"/>
          <w:sz w:val="25"/>
          <w:szCs w:val="25"/>
        </w:rPr>
        <w:tab/>
      </w:r>
      <w:r>
        <w:rPr>
          <w:rFonts w:ascii="Nimbus Roman" w:hAnsi="Nimbus Roman"/>
          <w:b/>
          <w:color w:val="000000"/>
          <w:sz w:val="25"/>
          <w:szCs w:val="25"/>
        </w:rPr>
        <w:t>Основными задачами Программы являются</w:t>
      </w:r>
      <w:r>
        <w:rPr>
          <w:rFonts w:ascii="Nimbus Roman" w:hAnsi="Nimbus Roman"/>
          <w:color w:val="000000"/>
          <w:sz w:val="25"/>
          <w:szCs w:val="25"/>
        </w:rPr>
        <w:t xml:space="preserve"> создание условий для увеличения объемов производства сельскохозяйственной продукции и эффективности функционирования агропромышленного комплекса; повышение занятости и уровня жизни сельского населения; организация мер по оформлению земель сельскохозяйственного назначения на территории муниципального образования.</w:t>
      </w:r>
    </w:p>
    <w:p>
      <w:pPr>
        <w:pStyle w:val="NoSpacing"/>
        <w:jc w:val="both"/>
        <w:rPr>
          <w:color w:val="000000"/>
          <w:sz w:val="25"/>
          <w:szCs w:val="25"/>
        </w:rPr>
      </w:pPr>
      <w:r>
        <w:rPr>
          <w:rFonts w:ascii="Tempora LGC Uni" w:hAnsi="Tempora LGC Uni"/>
          <w:color w:val="000000"/>
          <w:sz w:val="25"/>
          <w:szCs w:val="25"/>
        </w:rPr>
        <w:tab/>
      </w:r>
      <w:r>
        <w:rPr>
          <w:rFonts w:ascii="Tempora LGC Uni" w:hAnsi="Tempora LGC Uni"/>
          <w:b/>
          <w:color w:val="000000"/>
          <w:sz w:val="25"/>
          <w:szCs w:val="25"/>
        </w:rPr>
        <w:t>Сроки и этапы реализации Программы:</w:t>
      </w:r>
      <w:r>
        <w:rPr>
          <w:rFonts w:ascii="Tempora LGC Uni" w:hAnsi="Tempora LGC Uni"/>
          <w:color w:val="000000"/>
          <w:sz w:val="25"/>
          <w:szCs w:val="25"/>
        </w:rPr>
        <w:t xml:space="preserve"> Программа реализуется в три этапа: 1 этап – 2018-2020 годы; 2 этап – 2021-2023 годы; 3 этап -  2024-2027 годы.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  <w:sz w:val="25"/>
          <w:szCs w:val="25"/>
        </w:rPr>
      </w:pPr>
      <w:r>
        <w:rPr>
          <w:rFonts w:ascii="Nimbus Roman" w:hAnsi="Nimbus Roman"/>
          <w:color w:val="000000"/>
          <w:sz w:val="25"/>
          <w:szCs w:val="25"/>
        </w:rPr>
        <w:t>На основании распоряжения Администрации Ленинского муниципального района  от 16.07.2025г. № 72-р §2 «Об утверждении перечня муниципальных программ Ленинского муниципального района на 2026 год и на плановый период 2027 и 2028 годов» Программа включена в перечень муниципальных программ Ленинского муниципального района на 2026 год и на плановый период 2027 и 2028 годов.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  <w:sz w:val="25"/>
          <w:szCs w:val="25"/>
        </w:rPr>
      </w:pPr>
      <w:r>
        <w:rPr>
          <w:rFonts w:ascii="Nimbus Roman" w:hAnsi="Nimbus Roman"/>
          <w:color w:val="000000"/>
          <w:sz w:val="25"/>
          <w:szCs w:val="25"/>
        </w:rPr>
        <w:t xml:space="preserve">Согласно письма и </w:t>
      </w:r>
      <w:r>
        <w:rPr>
          <w:rFonts w:eastAsia="Times New Roman" w:ascii="Nimbus Roman" w:hAnsi="Nimbus Roman"/>
          <w:color w:val="000000"/>
          <w:sz w:val="25"/>
          <w:szCs w:val="25"/>
        </w:rPr>
        <w:t>пояснительной записке, изменения в Программу вносятся с целью формирования ресурсной потребности для реализации программных мероприятий на 2026-2028 годы к проекту бюджета Ленинского муниципального района на 2026 год и на плановый период 2027-2028 годов.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  <w:sz w:val="25"/>
          <w:szCs w:val="25"/>
        </w:rPr>
      </w:pPr>
      <w:r>
        <w:rPr>
          <w:rFonts w:eastAsia="Times New Roman" w:cs="Times New Roman" w:ascii="Nimbus Roman" w:hAnsi="Nimbus Roman"/>
          <w:color w:val="000000"/>
          <w:sz w:val="25"/>
          <w:szCs w:val="25"/>
        </w:rPr>
        <w:t xml:space="preserve">Кроме того,  Программой предусмотрена реализация мероприятия «Пополнение водой водных объектов, требующих периодического пополнения от оросительно-обводнительных систем, в сельских поселениях Ленинского муниципального района», средства на исполнение данного мероприятия предоставляются в виде субсидии из областного бюджета в рамках </w:t>
      </w:r>
      <w:r>
        <w:rPr>
          <w:rFonts w:ascii="Nimbus Roman" w:hAnsi="Nimbus Roman"/>
          <w:color w:val="000000"/>
          <w:sz w:val="25"/>
          <w:szCs w:val="25"/>
        </w:rPr>
        <w:t xml:space="preserve">государственной программы Волгоградской области «Развитие сельского хозяйства и регулирование рынков сельскохозяйственной продукции, сырья и продовольствия», утвержденной постановлением Администрации Волгоградской области от 26.12.2016г. N743-п. Одним из </w:t>
      </w:r>
      <w:r>
        <w:rPr>
          <w:rFonts w:cs="Times New Roman" w:ascii="Nimbus Roman" w:hAnsi="Nimbus Roman"/>
          <w:color w:val="000000"/>
          <w:sz w:val="25"/>
          <w:szCs w:val="25"/>
        </w:rPr>
        <w:t>условий предоставления субсидии является «наличие в местном бюджете бюджетных ассигнований на исполнение расходных обязательств муниципального района, в целях софинансирования которых предоставляется субсидия». В связи с этим вносятся изменения в объем финансирования Программы.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  <w:sz w:val="25"/>
          <w:szCs w:val="25"/>
        </w:rPr>
      </w:pPr>
      <w:r>
        <w:rPr>
          <w:rFonts w:cs="Times New Roman" w:ascii="Tempora LGC Uni" w:hAnsi="Tempora LGC Uni"/>
          <w:color w:val="000000"/>
          <w:sz w:val="25"/>
          <w:szCs w:val="25"/>
        </w:rPr>
        <w:t>Общий объем финансирования действующей Программы составляет 86898,778 тыс. руб.,</w:t>
      </w:r>
      <w:r>
        <w:rPr>
          <w:rFonts w:eastAsia="Times New Roman" w:cs="Times New Roman" w:ascii="Tempora LGC Uni" w:hAnsi="Tempora LGC Uni"/>
          <w:color w:val="000000"/>
          <w:sz w:val="25"/>
          <w:szCs w:val="25"/>
        </w:rPr>
        <w:t xml:space="preserve"> в том числе: средства областного бюджета в размере 74742,84 тыс. руб., средства бюджета района 12155,938 тыс. руб.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  <w:sz w:val="25"/>
          <w:szCs w:val="25"/>
        </w:rPr>
      </w:pPr>
      <w:r>
        <w:rPr>
          <w:rFonts w:cs="Times New Roman" w:ascii="Tempora LGC Uni" w:hAnsi="Tempora LGC Uni"/>
          <w:color w:val="000000"/>
          <w:sz w:val="25"/>
          <w:szCs w:val="25"/>
        </w:rPr>
        <w:t xml:space="preserve"> </w:t>
      </w:r>
      <w:r>
        <w:rPr>
          <w:rFonts w:cs="Times New Roman" w:ascii="Tempora LGC Uni" w:hAnsi="Tempora LGC Uni"/>
          <w:color w:val="000000"/>
          <w:sz w:val="25"/>
          <w:szCs w:val="25"/>
        </w:rPr>
        <w:t>Предлагаемым проектом, вносятся изменения в объем финансирования Программы, который  составит 72965,4</w:t>
      </w:r>
      <w:r>
        <w:rPr>
          <w:rFonts w:cs="Times New Roman" w:ascii="Tempora LGC Uni" w:hAnsi="Tempora LGC Uni"/>
          <w:color w:val="000000"/>
          <w:sz w:val="25"/>
          <w:szCs w:val="25"/>
        </w:rPr>
        <w:t>8</w:t>
      </w:r>
      <w:r>
        <w:rPr>
          <w:rFonts w:cs="Times New Roman" w:ascii="Tempora LGC Uni" w:hAnsi="Tempora LGC Uni"/>
          <w:color w:val="000000"/>
          <w:sz w:val="25"/>
          <w:szCs w:val="25"/>
        </w:rPr>
        <w:t>8</w:t>
      </w:r>
      <w:r>
        <w:rPr>
          <w:rFonts w:cs="Times New Roman" w:ascii="Tempora LGC Uni" w:hAnsi="Tempora LGC Uni"/>
          <w:b/>
          <w:color w:val="000000"/>
          <w:sz w:val="25"/>
          <w:szCs w:val="25"/>
        </w:rPr>
        <w:t xml:space="preserve"> </w:t>
      </w:r>
      <w:r>
        <w:rPr>
          <w:rFonts w:cs="Times New Roman" w:ascii="Tempora LGC Uni" w:hAnsi="Tempora LGC Uni"/>
          <w:color w:val="000000"/>
          <w:sz w:val="25"/>
          <w:szCs w:val="25"/>
        </w:rPr>
        <w:t>тыс. руб., в том числе</w:t>
      </w:r>
      <w:r>
        <w:rPr>
          <w:rFonts w:eastAsia="Times New Roman" w:cs="Times New Roman" w:ascii="Tempora LGC Uni" w:hAnsi="Tempora LGC Uni"/>
          <w:color w:val="000000"/>
          <w:sz w:val="25"/>
          <w:szCs w:val="25"/>
        </w:rPr>
        <w:t>:</w:t>
      </w:r>
    </w:p>
    <w:p>
      <w:pPr>
        <w:pStyle w:val="NoSpacing"/>
        <w:ind w:firstLine="709"/>
        <w:jc w:val="both"/>
        <w:rPr>
          <w:color w:val="000000"/>
          <w:sz w:val="25"/>
          <w:szCs w:val="25"/>
        </w:rPr>
      </w:pPr>
      <w:r>
        <w:rPr>
          <w:rFonts w:ascii="Tempora LGC Uni" w:hAnsi="Tempora LGC Uni"/>
          <w:color w:val="000000"/>
          <w:sz w:val="25"/>
          <w:szCs w:val="25"/>
        </w:rPr>
        <w:t>из областного бюджета  57437,7</w:t>
      </w:r>
      <w:r>
        <w:rPr>
          <w:rFonts w:ascii="Tempora LGC Uni" w:hAnsi="Tempora LGC Uni"/>
          <w:color w:val="000000"/>
          <w:sz w:val="25"/>
          <w:szCs w:val="25"/>
        </w:rPr>
        <w:t>3</w:t>
      </w:r>
      <w:r>
        <w:rPr>
          <w:rFonts w:ascii="Tempora LGC Uni" w:hAnsi="Tempora LGC Uni"/>
          <w:color w:val="000000"/>
          <w:sz w:val="25"/>
          <w:szCs w:val="25"/>
        </w:rPr>
        <w:t xml:space="preserve"> тыс. руб., из них: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color w:val="000000"/>
          <w:sz w:val="25"/>
          <w:szCs w:val="25"/>
        </w:rPr>
      </w:pPr>
      <w:r>
        <w:rPr>
          <w:rFonts w:eastAsia="Times New Roman" w:cs="Times New Roman" w:ascii="Tempora LGC Uni" w:hAnsi="Tempora LGC Uni"/>
          <w:color w:val="000000"/>
          <w:sz w:val="25"/>
          <w:szCs w:val="25"/>
        </w:rPr>
        <w:tab/>
      </w:r>
      <w:r>
        <w:rPr>
          <w:rFonts w:eastAsia="Times New Roman" w:cs="Times New Roman" w:ascii="Tempora LGC Uni" w:hAnsi="Tempora LGC Uni"/>
          <w:color w:val="000000"/>
          <w:sz w:val="25"/>
          <w:szCs w:val="25"/>
        </w:rPr>
        <w:t xml:space="preserve">2018 год   0,0 тыс. руб., </w:t>
      </w:r>
    </w:p>
    <w:p>
      <w:pPr>
        <w:pStyle w:val="Normal"/>
        <w:shd w:val="clear" w:color="auto" w:fill="FFFFFF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center" w:pos="4734" w:leader="none"/>
        </w:tabs>
        <w:spacing w:lineRule="auto" w:line="240" w:before="0" w:after="0"/>
        <w:ind w:firstLine="709"/>
        <w:jc w:val="both"/>
        <w:rPr>
          <w:color w:val="000000"/>
          <w:sz w:val="25"/>
          <w:szCs w:val="25"/>
        </w:rPr>
      </w:pPr>
      <w:r>
        <w:rPr>
          <w:rFonts w:eastAsia="Times New Roman" w:cs="Times New Roman" w:ascii="Tempora LGC Uni" w:hAnsi="Tempora LGC Uni"/>
          <w:color w:val="000000"/>
          <w:sz w:val="25"/>
          <w:szCs w:val="25"/>
        </w:rPr>
        <w:tab/>
        <w:t>2019 год   5000,0 тыс. руб.;</w:t>
        <w:tab/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  <w:sz w:val="25"/>
          <w:szCs w:val="25"/>
        </w:rPr>
      </w:pPr>
      <w:r>
        <w:rPr>
          <w:rFonts w:cs="Times New Roman" w:ascii="Tempora LGC Uni" w:hAnsi="Tempora LGC Uni"/>
          <w:color w:val="000000"/>
          <w:sz w:val="25"/>
          <w:szCs w:val="25"/>
        </w:rPr>
        <w:tab/>
        <w:t>2020 год   6619,50 тыс. руб.;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  <w:sz w:val="25"/>
          <w:szCs w:val="25"/>
        </w:rPr>
      </w:pPr>
      <w:r>
        <w:rPr>
          <w:rFonts w:cs="Times New Roman" w:ascii="Tempora LGC Uni" w:hAnsi="Tempora LGC Uni"/>
          <w:color w:val="000000"/>
          <w:sz w:val="25"/>
          <w:szCs w:val="25"/>
        </w:rPr>
        <w:t xml:space="preserve">           </w:t>
      </w:r>
      <w:r>
        <w:rPr>
          <w:rFonts w:cs="Times New Roman" w:ascii="Tempora LGC Uni" w:hAnsi="Tempora LGC Uni"/>
          <w:color w:val="000000"/>
          <w:sz w:val="25"/>
          <w:szCs w:val="25"/>
        </w:rPr>
        <w:t xml:space="preserve">2021 год  </w:t>
      </w:r>
      <w:r>
        <w:rPr>
          <w:rFonts w:eastAsia="Times New Roman" w:cs="Times New Roman" w:ascii="Tempora LGC Uni" w:hAnsi="Tempora LGC Uni"/>
          <w:color w:val="000000"/>
          <w:sz w:val="25"/>
          <w:szCs w:val="25"/>
        </w:rPr>
        <w:t xml:space="preserve"> 6619,50 тыс. руб.;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  <w:sz w:val="25"/>
          <w:szCs w:val="25"/>
        </w:rPr>
      </w:pPr>
      <w:r>
        <w:rPr>
          <w:rFonts w:cs="Times New Roman" w:ascii="Tempora LGC Uni" w:hAnsi="Tempora LGC Uni"/>
          <w:color w:val="000000"/>
          <w:sz w:val="25"/>
          <w:szCs w:val="25"/>
        </w:rPr>
        <w:t xml:space="preserve">           </w:t>
      </w:r>
      <w:r>
        <w:rPr>
          <w:rFonts w:cs="Times New Roman" w:ascii="Tempora LGC Uni" w:hAnsi="Tempora LGC Uni"/>
          <w:color w:val="000000"/>
          <w:sz w:val="25"/>
          <w:szCs w:val="25"/>
        </w:rPr>
        <w:t xml:space="preserve">2022 год  </w:t>
      </w:r>
      <w:r>
        <w:rPr>
          <w:rFonts w:eastAsia="Times New Roman" w:cs="Times New Roman" w:ascii="Tempora LGC Uni" w:hAnsi="Tempora LGC Uni"/>
          <w:color w:val="000000"/>
          <w:sz w:val="25"/>
          <w:szCs w:val="25"/>
        </w:rPr>
        <w:t xml:space="preserve"> 8302,85 тыс. руб.;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  <w:sz w:val="25"/>
          <w:szCs w:val="25"/>
        </w:rPr>
      </w:pPr>
      <w:r>
        <w:rPr>
          <w:rFonts w:cs="Times New Roman" w:ascii="Tempora LGC Uni" w:hAnsi="Tempora LGC Uni"/>
          <w:color w:val="000000"/>
          <w:sz w:val="25"/>
          <w:szCs w:val="25"/>
        </w:rPr>
        <w:t xml:space="preserve">           </w:t>
      </w:r>
      <w:r>
        <w:rPr>
          <w:rFonts w:cs="Times New Roman" w:ascii="Tempora LGC Uni" w:hAnsi="Tempora LGC Uni"/>
          <w:color w:val="000000"/>
          <w:sz w:val="25"/>
          <w:szCs w:val="25"/>
        </w:rPr>
        <w:t xml:space="preserve">2023 год   </w:t>
      </w:r>
      <w:r>
        <w:rPr>
          <w:rFonts w:eastAsia="Times New Roman" w:cs="Times New Roman" w:ascii="Tempora LGC Uni" w:hAnsi="Tempora LGC Uni"/>
          <w:color w:val="000000"/>
          <w:sz w:val="25"/>
          <w:szCs w:val="25"/>
        </w:rPr>
        <w:t xml:space="preserve"> 8492,86 тыс. руб.;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  <w:sz w:val="25"/>
          <w:szCs w:val="25"/>
        </w:rPr>
      </w:pPr>
      <w:r>
        <w:rPr>
          <w:rFonts w:cs="Times New Roman" w:ascii="Tempora LGC Uni" w:hAnsi="Tempora LGC Uni"/>
          <w:color w:val="000000"/>
          <w:sz w:val="25"/>
          <w:szCs w:val="25"/>
        </w:rPr>
        <w:t xml:space="preserve">           </w:t>
      </w:r>
      <w:r>
        <w:rPr>
          <w:rFonts w:cs="Times New Roman" w:ascii="Nimbus Roman" w:hAnsi="Nimbus Roman"/>
          <w:color w:val="000000"/>
          <w:sz w:val="25"/>
          <w:szCs w:val="25"/>
        </w:rPr>
        <w:t xml:space="preserve">2024 год   </w:t>
      </w:r>
      <w:r>
        <w:rPr>
          <w:rFonts w:eastAsia="Times New Roman" w:cs="Times New Roman" w:ascii="Nimbus Roman" w:hAnsi="Nimbus Roman"/>
          <w:color w:val="000000"/>
          <w:sz w:val="25"/>
          <w:szCs w:val="25"/>
        </w:rPr>
        <w:t xml:space="preserve"> 8664,89 тыс. руб.;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  <w:sz w:val="25"/>
          <w:szCs w:val="25"/>
        </w:rPr>
      </w:pPr>
      <w:r>
        <w:rPr>
          <w:rFonts w:eastAsia="Times New Roman" w:cs="Times New Roman" w:ascii="Nimbus Roman" w:hAnsi="Nimbus Roman"/>
          <w:color w:val="000000"/>
          <w:sz w:val="25"/>
          <w:szCs w:val="25"/>
        </w:rPr>
        <w:tab/>
        <w:t>2025 год    13738,13 тыс. руб.;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  <w:sz w:val="25"/>
          <w:szCs w:val="25"/>
        </w:rPr>
      </w:pPr>
      <w:r>
        <w:rPr>
          <w:rFonts w:eastAsia="Times New Roman" w:cs="Times New Roman" w:ascii="Nimbus Roman" w:hAnsi="Nimbus Roman"/>
          <w:color w:val="000000"/>
          <w:sz w:val="25"/>
          <w:szCs w:val="25"/>
        </w:rPr>
        <w:t xml:space="preserve">           </w:t>
      </w:r>
      <w:r>
        <w:rPr>
          <w:rFonts w:eastAsia="Times New Roman" w:cs="Times New Roman" w:ascii="Nimbus Roman" w:hAnsi="Nimbus Roman"/>
          <w:color w:val="000000"/>
          <w:sz w:val="25"/>
          <w:szCs w:val="25"/>
        </w:rPr>
        <w:t>2026 год    0,00 тыс. руб.;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  <w:sz w:val="25"/>
          <w:szCs w:val="25"/>
        </w:rPr>
      </w:pPr>
      <w:r>
        <w:rPr>
          <w:rFonts w:eastAsia="Times New Roman" w:cs="Times New Roman" w:ascii="Nimbus Roman" w:hAnsi="Nimbus Roman"/>
          <w:color w:val="000000"/>
          <w:sz w:val="25"/>
          <w:szCs w:val="25"/>
        </w:rPr>
        <w:tab/>
        <w:t>2027 год    0,00 тыс. руб.;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  <w:sz w:val="25"/>
          <w:szCs w:val="25"/>
        </w:rPr>
      </w:pPr>
      <w:r>
        <w:rPr>
          <w:rFonts w:eastAsia="Times New Roman" w:cs="Times New Roman" w:ascii="Nimbus Roman" w:hAnsi="Nimbus Roman"/>
          <w:color w:val="000000"/>
          <w:sz w:val="25"/>
          <w:szCs w:val="25"/>
        </w:rPr>
        <w:tab/>
        <w:t>2028 год    0,00 тыс. руб.</w:t>
      </w:r>
    </w:p>
    <w:p>
      <w:pPr>
        <w:pStyle w:val="NoSpacing"/>
        <w:ind w:firstLine="709"/>
        <w:jc w:val="both"/>
        <w:rPr>
          <w:color w:val="000000"/>
          <w:sz w:val="25"/>
          <w:szCs w:val="25"/>
        </w:rPr>
      </w:pPr>
      <w:r>
        <w:rPr>
          <w:rFonts w:ascii="Nimbus Roman" w:hAnsi="Nimbus Roman"/>
          <w:color w:val="000000"/>
          <w:sz w:val="25"/>
          <w:szCs w:val="25"/>
        </w:rPr>
        <w:t>из бюджета района 15527,758 тыс. руб., из них:</w:t>
      </w:r>
    </w:p>
    <w:p>
      <w:pPr>
        <w:pStyle w:val="Normal"/>
        <w:shd w:val="clear" w:color="auto" w:fill="FFFFFF"/>
        <w:spacing w:lineRule="auto" w:line="240" w:before="0" w:after="0"/>
        <w:ind w:left="1416"/>
        <w:jc w:val="both"/>
        <w:rPr>
          <w:color w:val="000000"/>
          <w:sz w:val="25"/>
          <w:szCs w:val="25"/>
        </w:rPr>
      </w:pPr>
      <w:r>
        <w:rPr>
          <w:rFonts w:eastAsia="Times New Roman" w:cs="Times New Roman" w:ascii="Nimbus Roman" w:hAnsi="Nimbus Roman"/>
          <w:color w:val="000000"/>
          <w:sz w:val="25"/>
          <w:szCs w:val="25"/>
        </w:rPr>
        <w:t>2018 год – 72,0 тыс. руб.;</w:t>
      </w:r>
    </w:p>
    <w:p>
      <w:pPr>
        <w:pStyle w:val="Normal"/>
        <w:shd w:val="clear" w:color="auto" w:fill="FFFFFF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center" w:pos="4734" w:leader="none"/>
        </w:tabs>
        <w:spacing w:lineRule="auto" w:line="240" w:before="0" w:after="0"/>
        <w:ind w:firstLine="709"/>
        <w:jc w:val="both"/>
        <w:rPr>
          <w:color w:val="000000"/>
          <w:sz w:val="25"/>
          <w:szCs w:val="25"/>
        </w:rPr>
      </w:pPr>
      <w:r>
        <w:rPr>
          <w:rFonts w:eastAsia="Times New Roman" w:cs="Times New Roman" w:ascii="Tempora LGC Uni" w:hAnsi="Tempora LGC Uni"/>
          <w:color w:val="000000"/>
          <w:sz w:val="25"/>
          <w:szCs w:val="25"/>
        </w:rPr>
        <w:tab/>
      </w:r>
      <w:r>
        <w:rPr>
          <w:rFonts w:eastAsia="Times New Roman" w:cs="Times New Roman" w:ascii="Nimbus Roman" w:hAnsi="Nimbus Roman"/>
          <w:color w:val="000000"/>
          <w:sz w:val="25"/>
          <w:szCs w:val="25"/>
        </w:rPr>
        <w:t>2019 год  39,954 тыс. руб.;</w:t>
        <w:tab/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  <w:sz w:val="25"/>
          <w:szCs w:val="25"/>
        </w:rPr>
      </w:pPr>
      <w:r>
        <w:rPr>
          <w:rFonts w:cs="Times New Roman" w:ascii="Nimbus Roman" w:hAnsi="Nimbus Roman"/>
          <w:color w:val="000000"/>
          <w:sz w:val="25"/>
          <w:szCs w:val="25"/>
        </w:rPr>
        <w:tab/>
        <w:t xml:space="preserve">2020год </w:t>
      </w:r>
      <w:r>
        <w:rPr>
          <w:rFonts w:eastAsia="Times New Roman" w:cs="Times New Roman" w:ascii="Nimbus Roman" w:hAnsi="Nimbus Roman"/>
          <w:color w:val="000000"/>
          <w:sz w:val="25"/>
          <w:szCs w:val="25"/>
        </w:rPr>
        <w:t xml:space="preserve">  110</w:t>
      </w:r>
      <w:r>
        <w:rPr>
          <w:rFonts w:cs="Times New Roman" w:ascii="Nimbus Roman" w:hAnsi="Nimbus Roman"/>
          <w:color w:val="000000"/>
          <w:sz w:val="25"/>
          <w:szCs w:val="25"/>
        </w:rPr>
        <w:t>6,314 тыс. руб.;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  <w:sz w:val="25"/>
          <w:szCs w:val="25"/>
        </w:rPr>
      </w:pPr>
      <w:r>
        <w:rPr>
          <w:rFonts w:cs="Times New Roman" w:ascii="Nimbus Roman" w:hAnsi="Nimbus Roman"/>
          <w:color w:val="000000"/>
          <w:sz w:val="25"/>
          <w:szCs w:val="25"/>
        </w:rPr>
        <w:t xml:space="preserve">           </w:t>
      </w:r>
      <w:r>
        <w:rPr>
          <w:rFonts w:cs="Times New Roman" w:ascii="Nimbus Roman" w:hAnsi="Nimbus Roman"/>
          <w:color w:val="000000"/>
          <w:sz w:val="25"/>
          <w:szCs w:val="25"/>
        </w:rPr>
        <w:t>2021 год   735,50</w:t>
      </w:r>
      <w:r>
        <w:rPr>
          <w:rFonts w:eastAsia="Times New Roman" w:cs="Times New Roman" w:ascii="Nimbus Roman" w:hAnsi="Nimbus Roman"/>
          <w:color w:val="000000"/>
          <w:sz w:val="25"/>
          <w:szCs w:val="25"/>
        </w:rPr>
        <w:t xml:space="preserve"> тыс. руб.;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  <w:sz w:val="25"/>
          <w:szCs w:val="25"/>
        </w:rPr>
      </w:pPr>
      <w:r>
        <w:rPr>
          <w:rFonts w:cs="Times New Roman" w:ascii="Nimbus Roman" w:hAnsi="Nimbus Roman"/>
          <w:color w:val="000000"/>
          <w:sz w:val="25"/>
          <w:szCs w:val="25"/>
        </w:rPr>
        <w:t xml:space="preserve">           </w:t>
      </w:r>
      <w:r>
        <w:rPr>
          <w:rFonts w:cs="Times New Roman" w:ascii="Nimbus Roman" w:hAnsi="Nimbus Roman"/>
          <w:color w:val="000000"/>
          <w:sz w:val="25"/>
          <w:szCs w:val="25"/>
        </w:rPr>
        <w:t>2022 год   4386,44</w:t>
      </w:r>
      <w:r>
        <w:rPr>
          <w:rFonts w:eastAsia="Times New Roman" w:cs="Times New Roman" w:ascii="Nimbus Roman" w:hAnsi="Nimbus Roman"/>
          <w:color w:val="000000"/>
          <w:sz w:val="25"/>
          <w:szCs w:val="25"/>
        </w:rPr>
        <w:t xml:space="preserve"> тыс. руб.;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  <w:sz w:val="25"/>
          <w:szCs w:val="25"/>
        </w:rPr>
      </w:pPr>
      <w:r>
        <w:rPr>
          <w:rFonts w:cs="Times New Roman" w:ascii="Nimbus Roman" w:hAnsi="Nimbus Roman"/>
          <w:color w:val="000000"/>
          <w:sz w:val="25"/>
          <w:szCs w:val="25"/>
        </w:rPr>
        <w:t xml:space="preserve">           </w:t>
      </w:r>
      <w:r>
        <w:rPr>
          <w:rFonts w:cs="Times New Roman" w:ascii="Nimbus Roman" w:hAnsi="Nimbus Roman"/>
          <w:color w:val="000000"/>
          <w:sz w:val="25"/>
          <w:szCs w:val="25"/>
        </w:rPr>
        <w:t xml:space="preserve">2023 год   </w:t>
      </w:r>
      <w:r>
        <w:rPr>
          <w:rFonts w:eastAsia="Times New Roman" w:cs="Times New Roman" w:ascii="Nimbus Roman" w:hAnsi="Nimbus Roman"/>
          <w:color w:val="000000"/>
          <w:sz w:val="25"/>
          <w:szCs w:val="25"/>
        </w:rPr>
        <w:t>943,65 тыс. руб.;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  <w:sz w:val="25"/>
          <w:szCs w:val="25"/>
        </w:rPr>
      </w:pPr>
      <w:r>
        <w:rPr>
          <w:rFonts w:cs="Times New Roman" w:ascii="Nimbus Roman" w:hAnsi="Nimbus Roman"/>
          <w:color w:val="000000"/>
          <w:sz w:val="25"/>
          <w:szCs w:val="25"/>
        </w:rPr>
        <w:t xml:space="preserve">          </w:t>
      </w:r>
      <w:r>
        <w:rPr>
          <w:rFonts w:cs="Times New Roman" w:ascii="Nimbus Roman" w:hAnsi="Nimbus Roman"/>
          <w:color w:val="000000"/>
          <w:sz w:val="25"/>
          <w:szCs w:val="25"/>
        </w:rPr>
        <w:t xml:space="preserve"> </w:t>
      </w:r>
      <w:r>
        <w:rPr>
          <w:rFonts w:cs="Times New Roman" w:ascii="Nimbus Roman" w:hAnsi="Nimbus Roman"/>
          <w:color w:val="000000"/>
          <w:sz w:val="25"/>
          <w:szCs w:val="25"/>
        </w:rPr>
        <w:t>2024 год   940,55</w:t>
      </w:r>
      <w:r>
        <w:rPr>
          <w:rFonts w:eastAsia="Times New Roman" w:cs="Times New Roman" w:ascii="Nimbus Roman" w:hAnsi="Nimbus Roman"/>
          <w:color w:val="000000"/>
          <w:sz w:val="25"/>
          <w:szCs w:val="25"/>
        </w:rPr>
        <w:t xml:space="preserve"> тыс. руб.;</w:t>
      </w:r>
    </w:p>
    <w:p>
      <w:pPr>
        <w:pStyle w:val="Normal"/>
        <w:tabs>
          <w:tab w:val="clear" w:pos="708"/>
          <w:tab w:val="left" w:pos="1364" w:leader="none"/>
        </w:tabs>
        <w:spacing w:lineRule="auto" w:line="240" w:before="0" w:after="0"/>
        <w:ind w:firstLine="709"/>
        <w:jc w:val="both"/>
        <w:rPr>
          <w:color w:val="000000"/>
          <w:sz w:val="25"/>
          <w:szCs w:val="25"/>
        </w:rPr>
      </w:pPr>
      <w:r>
        <w:rPr>
          <w:rFonts w:eastAsia="Times New Roman" w:cs="Times New Roman" w:ascii="Nimbus Roman" w:hAnsi="Nimbus Roman"/>
          <w:color w:val="000000"/>
          <w:sz w:val="25"/>
          <w:szCs w:val="25"/>
        </w:rPr>
        <w:tab/>
        <w:t xml:space="preserve"> 2025 год   1450,84 тыс. руб.;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  <w:sz w:val="25"/>
          <w:szCs w:val="25"/>
        </w:rPr>
      </w:pPr>
      <w:r>
        <w:rPr>
          <w:rFonts w:eastAsia="Times New Roman" w:cs="Times New Roman" w:ascii="Nimbus Roman" w:hAnsi="Nimbus Roman"/>
          <w:color w:val="000000"/>
          <w:sz w:val="25"/>
          <w:szCs w:val="25"/>
        </w:rPr>
        <w:t xml:space="preserve">           </w:t>
      </w:r>
      <w:r>
        <w:rPr>
          <w:rFonts w:eastAsia="Times New Roman" w:cs="Times New Roman" w:ascii="Nimbus Roman" w:hAnsi="Nimbus Roman"/>
          <w:color w:val="000000"/>
          <w:sz w:val="25"/>
          <w:szCs w:val="25"/>
        </w:rPr>
        <w:t>2026 год   1950,84 тыс. руб.;</w:t>
      </w:r>
    </w:p>
    <w:p>
      <w:pPr>
        <w:pStyle w:val="Normal"/>
        <w:tabs>
          <w:tab w:val="clear" w:pos="708"/>
          <w:tab w:val="left" w:pos="1418" w:leader="none"/>
          <w:tab w:val="left" w:pos="1691" w:leader="none"/>
        </w:tabs>
        <w:spacing w:lineRule="auto" w:line="240" w:before="0" w:after="0"/>
        <w:ind w:firstLine="709"/>
        <w:jc w:val="both"/>
        <w:rPr>
          <w:color w:val="000000"/>
          <w:sz w:val="25"/>
          <w:szCs w:val="25"/>
        </w:rPr>
      </w:pPr>
      <w:r>
        <w:rPr>
          <w:rFonts w:eastAsia="Times New Roman" w:cs="Times New Roman" w:ascii="Nimbus Roman" w:hAnsi="Nimbus Roman"/>
          <w:color w:val="000000"/>
          <w:sz w:val="25"/>
          <w:szCs w:val="25"/>
        </w:rPr>
        <w:tab/>
        <w:t>2027 год   1950,84 тыс. руб.;</w:t>
      </w:r>
    </w:p>
    <w:p>
      <w:pPr>
        <w:pStyle w:val="Normal"/>
        <w:tabs>
          <w:tab w:val="clear" w:pos="708"/>
          <w:tab w:val="left" w:pos="1418" w:leader="none"/>
          <w:tab w:val="left" w:pos="1691" w:leader="none"/>
        </w:tabs>
        <w:spacing w:lineRule="auto" w:line="240" w:before="0" w:after="0"/>
        <w:ind w:firstLine="709"/>
        <w:jc w:val="both"/>
        <w:rPr>
          <w:color w:val="000000"/>
          <w:sz w:val="25"/>
          <w:szCs w:val="25"/>
        </w:rPr>
      </w:pPr>
      <w:r>
        <w:rPr>
          <w:rFonts w:eastAsia="Times New Roman" w:cs="Times New Roman" w:ascii="Nimbus Roman" w:hAnsi="Nimbus Roman"/>
          <w:color w:val="000000"/>
          <w:sz w:val="25"/>
          <w:szCs w:val="25"/>
        </w:rPr>
        <w:tab/>
        <w:t>2028 год   1950,84 тыс. руб.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  <w:sz w:val="25"/>
          <w:szCs w:val="25"/>
        </w:rPr>
      </w:pPr>
      <w:r>
        <w:rPr>
          <w:rFonts w:cs="Times New Roman" w:ascii="Nimbus Roman" w:hAnsi="Nimbus Roman"/>
          <w:color w:val="000000"/>
          <w:sz w:val="25"/>
          <w:szCs w:val="25"/>
        </w:rPr>
        <w:t>Таким образом, предлагаемым проектом постановления в целом предусмотрено уменьшение</w:t>
      </w:r>
      <w:r>
        <w:rPr>
          <w:rFonts w:cs="Times New Roman" w:ascii="Nimbus Roman" w:hAnsi="Nimbus Roman"/>
          <w:b/>
          <w:color w:val="000000"/>
          <w:sz w:val="25"/>
          <w:szCs w:val="25"/>
        </w:rPr>
        <w:t xml:space="preserve"> </w:t>
      </w:r>
      <w:r>
        <w:rPr>
          <w:rFonts w:cs="Times New Roman" w:ascii="Nimbus Roman" w:hAnsi="Nimbus Roman"/>
          <w:b w:val="false"/>
          <w:bCs w:val="false"/>
          <w:color w:val="000000"/>
          <w:sz w:val="25"/>
          <w:szCs w:val="25"/>
        </w:rPr>
        <w:t xml:space="preserve">объема финансирования </w:t>
      </w:r>
      <w:r>
        <w:rPr>
          <w:rFonts w:cs="Times New Roman" w:ascii="Nimbus Roman" w:hAnsi="Nimbus Roman"/>
          <w:color w:val="000000"/>
          <w:sz w:val="25"/>
          <w:szCs w:val="25"/>
        </w:rPr>
        <w:t>на реализацию Программы на сумму 13933,28 тыс. руб., при этом объем финансирования за счет средств областного бюджета уменьшен на 17305,10 тыс. руб. и  увеличен  на 3371,82 тыс. руб. за счет средств бюджета Ленинского муниципального района.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  <w:sz w:val="25"/>
          <w:szCs w:val="25"/>
        </w:rPr>
      </w:pPr>
      <w:r>
        <w:rPr>
          <w:rFonts w:eastAsia="Times New Roman" w:cs="Times New Roman" w:ascii="Tempora LGC Uni" w:hAnsi="Tempora LGC Uni"/>
          <w:color w:val="000000"/>
          <w:sz w:val="25"/>
          <w:szCs w:val="25"/>
        </w:rPr>
        <w:t xml:space="preserve">Изменения по объему финансирования внесены в </w:t>
      </w:r>
      <w:r>
        <w:rPr>
          <w:rFonts w:eastAsia="Times New Roman" w:cs="Times New Roman" w:ascii="Tempora LGC Uni" w:hAnsi="Tempora LGC Uni"/>
          <w:b/>
          <w:bCs/>
          <w:color w:val="000000"/>
          <w:sz w:val="25"/>
          <w:szCs w:val="25"/>
        </w:rPr>
        <w:t>позицию  паспорта Программы</w:t>
      </w:r>
      <w:r>
        <w:rPr>
          <w:rFonts w:eastAsia="Times New Roman" w:cs="Times New Roman" w:ascii="Tempora LGC Uni" w:hAnsi="Tempora LGC Uni"/>
          <w:color w:val="000000"/>
          <w:sz w:val="25"/>
          <w:szCs w:val="25"/>
        </w:rPr>
        <w:t xml:space="preserve"> </w:t>
      </w:r>
      <w:r>
        <w:rPr>
          <w:rFonts w:eastAsia="Times New Roman" w:cs="Times New Roman" w:ascii="Tempora LGC Uni" w:hAnsi="Tempora LGC Uni"/>
          <w:b/>
          <w:color w:val="000000"/>
          <w:sz w:val="25"/>
          <w:szCs w:val="25"/>
        </w:rPr>
        <w:t>«Объемы и источники финансирования Программы (подпрограммы)»</w:t>
      </w:r>
      <w:r>
        <w:rPr>
          <w:rFonts w:eastAsia="Times New Roman" w:cs="Times New Roman" w:ascii="Tempora LGC Uni" w:hAnsi="Tempora LGC Uni"/>
          <w:color w:val="000000"/>
          <w:sz w:val="25"/>
          <w:szCs w:val="25"/>
        </w:rPr>
        <w:t xml:space="preserve"> и в текстовую часть Программы </w:t>
      </w:r>
      <w:r>
        <w:rPr>
          <w:rFonts w:eastAsia="Times New Roman" w:cs="Times New Roman" w:ascii="Tempora LGC Uni" w:hAnsi="Tempora LGC Uni"/>
          <w:b/>
          <w:color w:val="000000"/>
          <w:sz w:val="25"/>
          <w:szCs w:val="25"/>
        </w:rPr>
        <w:t>в раздел 4 подраздел 4.5</w:t>
      </w:r>
      <w:r>
        <w:rPr>
          <w:rFonts w:eastAsia="Times New Roman" w:cs="Times New Roman" w:ascii="Tempora LGC Uni" w:hAnsi="Tempora LGC Uni"/>
          <w:color w:val="000000"/>
          <w:sz w:val="25"/>
          <w:szCs w:val="25"/>
        </w:rPr>
        <w:t xml:space="preserve"> </w:t>
      </w:r>
      <w:r>
        <w:rPr>
          <w:rFonts w:eastAsia="Times New Roman" w:cs="Times New Roman" w:ascii="Tempora LGC Uni" w:hAnsi="Tempora LGC Uni"/>
          <w:b/>
          <w:color w:val="000000"/>
          <w:sz w:val="25"/>
          <w:szCs w:val="25"/>
        </w:rPr>
        <w:t>«Пополнение водой водных объектов, требующих периодического пополнения от оросительно-обводнительных систем в сельских поселениях Ленинского муниципального района»</w:t>
      </w:r>
      <w:r>
        <w:rPr>
          <w:rFonts w:eastAsia="Times New Roman" w:cs="Times New Roman" w:ascii="Tempora LGC Uni" w:hAnsi="Tempora LGC Uni"/>
          <w:color w:val="000000"/>
          <w:sz w:val="25"/>
          <w:szCs w:val="25"/>
        </w:rPr>
        <w:t xml:space="preserve"> и в </w:t>
      </w:r>
      <w:r>
        <w:rPr>
          <w:rFonts w:eastAsia="Times New Roman" w:cs="Times New Roman" w:ascii="Tempora LGC Uni" w:hAnsi="Tempora LGC Uni"/>
          <w:b/>
          <w:color w:val="000000"/>
          <w:sz w:val="25"/>
          <w:szCs w:val="25"/>
        </w:rPr>
        <w:t>раздел 5 «Обоснование объема финансовых ресурсов, необходимых для реализации муниципальной программы»</w:t>
      </w:r>
      <w:r>
        <w:rPr>
          <w:rFonts w:eastAsia="Times New Roman" w:cs="Times New Roman" w:ascii="Tempora LGC Uni" w:hAnsi="Tempora LGC Uni"/>
          <w:color w:val="000000"/>
          <w:sz w:val="25"/>
          <w:szCs w:val="25"/>
        </w:rPr>
        <w:t>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  <w:sz w:val="25"/>
          <w:szCs w:val="25"/>
        </w:rPr>
      </w:pPr>
      <w:r>
        <w:rPr>
          <w:rFonts w:ascii="Tempora LGC Uni" w:hAnsi="Tempora LGC Uni"/>
          <w:color w:val="000000"/>
          <w:sz w:val="25"/>
          <w:szCs w:val="25"/>
        </w:rPr>
        <w:t xml:space="preserve">В связи с изменением объема финансирования вносятся изменения в </w:t>
      </w:r>
      <w:r>
        <w:rPr>
          <w:rFonts w:ascii="Tempora LGC Uni" w:hAnsi="Tempora LGC Uni"/>
          <w:b/>
          <w:bCs/>
          <w:color w:val="000000"/>
          <w:sz w:val="25"/>
          <w:szCs w:val="25"/>
        </w:rPr>
        <w:t xml:space="preserve">раздел 3 </w:t>
      </w:r>
      <w:r>
        <w:rPr>
          <w:rFonts w:ascii="Tempora LGC Uni" w:hAnsi="Tempora LGC Uni"/>
          <w:color w:val="000000"/>
          <w:sz w:val="25"/>
          <w:szCs w:val="25"/>
        </w:rPr>
        <w:t>текстовой части паспорта Программы «</w:t>
      </w:r>
      <w:r>
        <w:rPr>
          <w:rFonts w:ascii="Tempora LGC Uni" w:hAnsi="Tempora LGC Uni"/>
          <w:b/>
          <w:bCs/>
          <w:color w:val="000000"/>
          <w:sz w:val="25"/>
          <w:szCs w:val="25"/>
        </w:rPr>
        <w:t>Целевые показатели муниципальной программы, ожидаемые конечные результаты реализации муниципальной программы»</w:t>
      </w:r>
      <w:r>
        <w:rPr>
          <w:rFonts w:ascii="Tempora LGC Uni" w:hAnsi="Tempora LGC Uni"/>
          <w:color w:val="000000"/>
          <w:sz w:val="25"/>
          <w:szCs w:val="25"/>
        </w:rPr>
        <w:t>, где отдельные целевые показатели изменены как в сторону увеличения, так и в сторону уменьшения.</w:t>
      </w:r>
    </w:p>
    <w:p>
      <w:pPr>
        <w:pStyle w:val="Normal"/>
        <w:spacing w:lineRule="auto" w:line="240" w:before="0" w:after="0"/>
        <w:ind w:firstLine="708" w:right="142"/>
        <w:jc w:val="both"/>
        <w:rPr>
          <w:color w:val="000000"/>
          <w:sz w:val="25"/>
          <w:szCs w:val="25"/>
        </w:rPr>
      </w:pPr>
      <w:r>
        <w:rPr>
          <w:rFonts w:eastAsia="Times New Roman" w:cs="Times New Roman" w:ascii="Tempora LGC Uni" w:hAnsi="Tempora LGC Uni"/>
          <w:color w:val="000000"/>
          <w:sz w:val="25"/>
          <w:szCs w:val="25"/>
        </w:rPr>
        <w:t xml:space="preserve">Изменение срока реализации Программы до 2028 года внесено в </w:t>
      </w:r>
      <w:r>
        <w:rPr>
          <w:rFonts w:eastAsia="Times New Roman" w:cs="Times New Roman" w:ascii="Tempora LGC Uni" w:hAnsi="Tempora LGC Uni"/>
          <w:b/>
          <w:bCs/>
          <w:color w:val="000000"/>
          <w:sz w:val="25"/>
          <w:szCs w:val="25"/>
        </w:rPr>
        <w:t xml:space="preserve">позицию  паспорта Программы  «Сроки и этапы реализации Программы (подпрограммы)» </w:t>
      </w:r>
      <w:r>
        <w:rPr>
          <w:rFonts w:eastAsia="Times New Roman" w:cs="Times New Roman" w:ascii="Tempora LGC Uni" w:hAnsi="Tempora LGC Uni"/>
          <w:color w:val="000000"/>
          <w:sz w:val="25"/>
          <w:szCs w:val="25"/>
        </w:rPr>
        <w:t xml:space="preserve">и в текстовую часть паспорта Программы </w:t>
      </w:r>
      <w:r>
        <w:rPr>
          <w:rFonts w:eastAsia="Times New Roman" w:cs="Times New Roman" w:ascii="Tempora LGC Uni" w:hAnsi="Tempora LGC Uni"/>
          <w:b/>
          <w:bCs/>
          <w:color w:val="000000"/>
          <w:sz w:val="25"/>
          <w:szCs w:val="25"/>
        </w:rPr>
        <w:t>раздел 2 «Цели, задачи, сроки и этапы реализации муниципальной программы».</w:t>
      </w:r>
    </w:p>
    <w:p>
      <w:pPr>
        <w:pStyle w:val="Normal"/>
        <w:spacing w:lineRule="auto" w:line="240" w:before="0" w:after="0"/>
        <w:ind w:firstLine="708" w:right="142"/>
        <w:jc w:val="both"/>
        <w:rPr>
          <w:color w:val="000000"/>
          <w:sz w:val="25"/>
          <w:szCs w:val="25"/>
        </w:rPr>
      </w:pPr>
      <w:r>
        <w:rPr>
          <w:color w:val="000000"/>
          <w:sz w:val="25"/>
          <w:szCs w:val="25"/>
        </w:rPr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  <w:sz w:val="25"/>
          <w:szCs w:val="25"/>
        </w:rPr>
      </w:pPr>
      <w:r>
        <w:rPr>
          <w:rFonts w:ascii="Tempora LGC Uni" w:hAnsi="Tempora LGC Uni"/>
          <w:color w:val="000000"/>
          <w:sz w:val="25"/>
          <w:szCs w:val="25"/>
        </w:rPr>
        <w:t xml:space="preserve">С учетом внесенных изменений в паспорт и текстовую часть Программы соответственно вносятся изменения в приложения к Программе </w:t>
      </w:r>
      <w:r>
        <w:rPr>
          <w:rFonts w:ascii="Tempora LGC Uni" w:hAnsi="Tempora LGC Uni"/>
          <w:b/>
          <w:bCs/>
          <w:color w:val="000000"/>
          <w:sz w:val="25"/>
          <w:szCs w:val="25"/>
        </w:rPr>
        <w:t>форму 1</w:t>
      </w:r>
      <w:r>
        <w:rPr>
          <w:rFonts w:ascii="Tempora LGC Uni" w:hAnsi="Tempora LGC Uni"/>
          <w:color w:val="000000"/>
          <w:sz w:val="25"/>
          <w:szCs w:val="25"/>
        </w:rPr>
        <w:t xml:space="preserve"> «Перечень целевых показателей достижения поставленных целей и задач муниципальной программы Ленинского муниципального района», </w:t>
      </w:r>
      <w:r>
        <w:rPr>
          <w:rFonts w:ascii="Tempora LGC Uni" w:hAnsi="Tempora LGC Uni"/>
          <w:b/>
          <w:bCs/>
          <w:color w:val="000000"/>
          <w:sz w:val="25"/>
          <w:szCs w:val="25"/>
        </w:rPr>
        <w:t>форму 2</w:t>
      </w:r>
      <w:r>
        <w:rPr>
          <w:rFonts w:ascii="Tempora LGC Uni" w:hAnsi="Tempora LGC Uni"/>
          <w:color w:val="000000"/>
          <w:sz w:val="25"/>
          <w:szCs w:val="25"/>
        </w:rPr>
        <w:t xml:space="preserve"> «Перечень мероприятий муниципальной программы Ленинского муниципального района» и </w:t>
      </w:r>
      <w:r>
        <w:rPr>
          <w:rFonts w:ascii="Tempora LGC Uni" w:hAnsi="Tempora LGC Uni"/>
          <w:b/>
          <w:bCs/>
          <w:color w:val="000000"/>
          <w:sz w:val="25"/>
          <w:szCs w:val="25"/>
        </w:rPr>
        <w:t>форму 3</w:t>
      </w:r>
      <w:r>
        <w:rPr>
          <w:rFonts w:ascii="Tempora LGC Uni" w:hAnsi="Tempora LGC Uni"/>
          <w:color w:val="000000"/>
          <w:sz w:val="25"/>
          <w:szCs w:val="25"/>
        </w:rPr>
        <w:t xml:space="preserve">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финансирования».</w:t>
      </w:r>
    </w:p>
    <w:p>
      <w:pPr>
        <w:pStyle w:val="Normal"/>
        <w:spacing w:lineRule="auto" w:line="240" w:before="0" w:after="0"/>
        <w:ind w:firstLine="708"/>
        <w:jc w:val="both"/>
        <w:rPr>
          <w:rFonts w:ascii="Tempora LGC Uni" w:hAnsi="Tempora LGC Uni"/>
          <w:color w:val="000000"/>
          <w:sz w:val="25"/>
          <w:szCs w:val="25"/>
        </w:rPr>
      </w:pPr>
      <w:r>
        <w:rPr>
          <w:rFonts w:ascii="Tempora LGC Uni" w:hAnsi="Tempora LGC Uni"/>
          <w:color w:val="000000"/>
          <w:sz w:val="25"/>
          <w:szCs w:val="25"/>
        </w:rPr>
      </w:r>
    </w:p>
    <w:p>
      <w:pPr>
        <w:pStyle w:val="NoSpacing"/>
        <w:ind w:firstLine="360"/>
        <w:jc w:val="both"/>
        <w:rPr>
          <w:color w:val="000000"/>
          <w:sz w:val="25"/>
          <w:szCs w:val="25"/>
        </w:rPr>
      </w:pPr>
      <w:r>
        <w:rPr>
          <w:rFonts w:ascii="Tempora LGC Uni" w:hAnsi="Tempora LGC Uni"/>
          <w:b/>
          <w:color w:val="000000"/>
          <w:sz w:val="25"/>
          <w:szCs w:val="25"/>
          <w:u w:val="single"/>
        </w:rPr>
        <w:t>Вывод:</w:t>
      </w:r>
      <w:r>
        <w:rPr>
          <w:rFonts w:ascii="Tempora LGC Uni" w:hAnsi="Tempora LGC Uni"/>
          <w:color w:val="000000"/>
          <w:sz w:val="25"/>
          <w:szCs w:val="25"/>
        </w:rPr>
        <w:t xml:space="preserve"> 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  <w:sz w:val="25"/>
          <w:szCs w:val="25"/>
        </w:rPr>
      </w:pPr>
      <w:r>
        <w:rPr>
          <w:rFonts w:cs="Times New Roman" w:ascii="Tempora LGC Uni" w:hAnsi="Tempora LGC Uni"/>
          <w:color w:val="000000"/>
          <w:sz w:val="25"/>
          <w:szCs w:val="25"/>
        </w:rPr>
        <w:t>На основании изложенного, Контрольно-счетная палата Ленинского муниципального района считает представленный проект постановления «О внесении изменений в постановление администрации Ленинского муниципального района от 04.10.2017г.  №466  «Об утверждении муниципальной  программы Ленинского муниципального района «Развитие агропромышленного комплекса Ленинского муниципального района» возможным к утверждению в предлагаемой редакции.</w:t>
      </w:r>
    </w:p>
    <w:p>
      <w:pPr>
        <w:pStyle w:val="Normal"/>
        <w:spacing w:lineRule="auto" w:line="240" w:before="0" w:after="0"/>
        <w:jc w:val="both"/>
        <w:rPr>
          <w:color w:val="000000"/>
          <w:sz w:val="25"/>
          <w:szCs w:val="25"/>
        </w:rPr>
      </w:pPr>
      <w:r>
        <w:rPr>
          <w:rFonts w:ascii="Tempora LGC Uni" w:hAnsi="Tempora LGC Uni"/>
          <w:color w:val="000000"/>
          <w:sz w:val="25"/>
          <w:szCs w:val="25"/>
        </w:rPr>
        <w:t xml:space="preserve">        </w:t>
      </w:r>
      <w:r>
        <w:rPr>
          <w:rFonts w:ascii="Tempora LGC Uni" w:hAnsi="Tempora LGC Uni"/>
          <w:color w:val="000000"/>
          <w:sz w:val="25"/>
          <w:szCs w:val="25"/>
        </w:rPr>
        <w:t xml:space="preserve">Вместе с тем, Контрольно-счетная палата обращает внимание, что в соответствии с п.6.3. раздела 6 Порядка, утвержденного Постановлением №573, ответственный исполнитель Программы, </w:t>
      </w:r>
      <w:r>
        <w:rPr>
          <w:rFonts w:ascii="Tempora LGC Uni" w:hAnsi="Tempora LGC Uni"/>
          <w:b/>
          <w:color w:val="000000"/>
          <w:sz w:val="25"/>
          <w:szCs w:val="25"/>
        </w:rPr>
        <w:t>осуществляет контроль за ходом реализации Программы и несет персональную ответственность за конечные результаты реализации  Программы</w:t>
      </w:r>
      <w:r>
        <w:rPr>
          <w:rFonts w:ascii="Tempora LGC Uni" w:hAnsi="Tempora LGC Uni"/>
          <w:color w:val="000000"/>
          <w:sz w:val="25"/>
          <w:szCs w:val="25"/>
        </w:rPr>
        <w:t>.</w:t>
      </w:r>
    </w:p>
    <w:p>
      <w:pPr>
        <w:pStyle w:val="Normal"/>
        <w:spacing w:lineRule="auto" w:line="240" w:before="0" w:after="0"/>
        <w:jc w:val="both"/>
        <w:rPr>
          <w:rFonts w:ascii="Tempora LGC Uni" w:hAnsi="Tempora LGC Uni" w:cs="Times New Roman"/>
          <w:color w:val="000000"/>
          <w:sz w:val="25"/>
          <w:szCs w:val="25"/>
        </w:rPr>
      </w:pPr>
      <w:r>
        <w:rPr>
          <w:rFonts w:cs="Times New Roman" w:ascii="Tempora LGC Uni" w:hAnsi="Tempora LGC Uni"/>
          <w:color w:val="000000"/>
          <w:sz w:val="25"/>
          <w:szCs w:val="25"/>
        </w:rPr>
      </w:r>
    </w:p>
    <w:p>
      <w:pPr>
        <w:pStyle w:val="Normal"/>
        <w:spacing w:lineRule="auto" w:line="240" w:before="0" w:after="0"/>
        <w:jc w:val="both"/>
        <w:rPr>
          <w:rFonts w:ascii="Tempora LGC Uni" w:hAnsi="Tempora LGC Uni" w:cs="Times New Roman"/>
          <w:color w:val="000000"/>
          <w:sz w:val="25"/>
          <w:szCs w:val="25"/>
        </w:rPr>
      </w:pPr>
      <w:r>
        <w:rPr>
          <w:rFonts w:cs="Times New Roman" w:ascii="Tempora LGC Uni" w:hAnsi="Tempora LGC Uni"/>
          <w:color w:val="000000"/>
          <w:sz w:val="25"/>
          <w:szCs w:val="25"/>
        </w:rPr>
      </w:r>
    </w:p>
    <w:p>
      <w:pPr>
        <w:pStyle w:val="Normal"/>
        <w:spacing w:lineRule="auto" w:line="240" w:before="0" w:after="0"/>
        <w:jc w:val="both"/>
        <w:rPr>
          <w:rFonts w:ascii="Tempora LGC Uni" w:hAnsi="Tempora LGC Uni" w:cs="Times New Roman"/>
          <w:color w:val="000000"/>
          <w:sz w:val="25"/>
          <w:szCs w:val="25"/>
        </w:rPr>
      </w:pPr>
      <w:r>
        <w:rPr>
          <w:rFonts w:cs="Times New Roman" w:ascii="Tempora LGC Uni" w:hAnsi="Tempora LGC Uni"/>
          <w:color w:val="000000"/>
          <w:sz w:val="25"/>
          <w:szCs w:val="25"/>
        </w:rPr>
      </w:r>
    </w:p>
    <w:p>
      <w:pPr>
        <w:pStyle w:val="Normal"/>
        <w:spacing w:lineRule="auto" w:line="240" w:before="0" w:after="0"/>
        <w:jc w:val="both"/>
        <w:rPr>
          <w:rFonts w:ascii="Tempora LGC Uni" w:hAnsi="Tempora LGC Uni" w:cs="Times New Roman"/>
          <w:color w:val="000000"/>
          <w:sz w:val="25"/>
          <w:szCs w:val="25"/>
        </w:rPr>
      </w:pPr>
      <w:r>
        <w:rPr>
          <w:rFonts w:cs="Times New Roman" w:ascii="Tempora LGC Uni" w:hAnsi="Tempora LGC Uni"/>
          <w:color w:val="000000"/>
          <w:sz w:val="25"/>
          <w:szCs w:val="25"/>
        </w:rPr>
      </w:r>
    </w:p>
    <w:p>
      <w:pPr>
        <w:pStyle w:val="Normal"/>
        <w:spacing w:lineRule="auto" w:line="240" w:before="0" w:after="0"/>
        <w:jc w:val="both"/>
        <w:rPr>
          <w:color w:val="000000"/>
          <w:sz w:val="25"/>
          <w:szCs w:val="25"/>
        </w:rPr>
      </w:pPr>
      <w:r>
        <w:rPr>
          <w:rFonts w:eastAsia="Times New Roman" w:cs="Times New Roman" w:ascii="Times New Roman" w:hAnsi="Times New Roman"/>
          <w:color w:val="000000"/>
          <w:sz w:val="25"/>
          <w:szCs w:val="25"/>
        </w:rPr>
        <w:t>Ст. инспектор  Контрольно-счетной</w:t>
      </w:r>
    </w:p>
    <w:p>
      <w:pPr>
        <w:pStyle w:val="Normal"/>
        <w:spacing w:lineRule="auto" w:line="240" w:before="0" w:after="0"/>
        <w:jc w:val="both"/>
        <w:rPr>
          <w:color w:val="000000"/>
          <w:sz w:val="25"/>
          <w:szCs w:val="25"/>
        </w:rPr>
      </w:pPr>
      <w:r>
        <w:rPr>
          <w:rFonts w:eastAsia="Times New Roman" w:cs="Times New Roman" w:ascii="Times New Roman" w:hAnsi="Times New Roman"/>
          <w:color w:val="000000"/>
          <w:sz w:val="25"/>
          <w:szCs w:val="25"/>
        </w:rPr>
        <w:t xml:space="preserve">палаты Ленинского муниципального </w:t>
      </w:r>
    </w:p>
    <w:p>
      <w:pPr>
        <w:pStyle w:val="Normal"/>
        <w:spacing w:lineRule="auto" w:line="240" w:before="0" w:after="0"/>
        <w:jc w:val="both"/>
        <w:rPr>
          <w:color w:val="000000"/>
          <w:sz w:val="25"/>
          <w:szCs w:val="25"/>
        </w:rPr>
      </w:pPr>
      <w:r>
        <w:rPr>
          <w:rFonts w:eastAsia="Times New Roman" w:cs="Times New Roman" w:ascii="Times New Roman" w:hAnsi="Times New Roman"/>
          <w:color w:val="000000"/>
          <w:sz w:val="25"/>
          <w:szCs w:val="25"/>
        </w:rPr>
        <w:t xml:space="preserve">района                                                                                         </w:t>
      </w:r>
      <w:r>
        <w:rPr>
          <w:rFonts w:cs="Times New Roman" w:ascii="Times New Roman" w:hAnsi="Times New Roman"/>
          <w:color w:val="000000"/>
          <w:sz w:val="25"/>
          <w:szCs w:val="25"/>
        </w:rPr>
        <w:t xml:space="preserve">                              Н.Ю. Жолобова</w:t>
      </w:r>
    </w:p>
    <w:p>
      <w:pPr>
        <w:pStyle w:val="Normal"/>
        <w:spacing w:lineRule="auto" w:line="240" w:before="0" w:after="0"/>
        <w:jc w:val="both"/>
        <w:rPr>
          <w:color w:val="000000"/>
          <w:sz w:val="25"/>
          <w:szCs w:val="25"/>
        </w:rPr>
      </w:pPr>
      <w:bookmarkStart w:id="0" w:name="_GoBack"/>
      <w:bookmarkEnd w:id="0"/>
      <w:r>
        <w:rPr>
          <w:rFonts w:ascii="Tempora LGC Uni" w:hAnsi="Tempora LGC Uni"/>
          <w:color w:val="000000"/>
          <w:sz w:val="25"/>
          <w:szCs w:val="25"/>
        </w:rPr>
        <w:t xml:space="preserve">  </w:t>
      </w:r>
    </w:p>
    <w:sectPr>
      <w:footerReference w:type="default" r:id="rId3"/>
      <w:type w:val="nextPage"/>
      <w:pgSz w:w="11906" w:h="16838"/>
      <w:pgMar w:left="1134" w:right="567" w:gutter="0" w:header="0" w:top="567" w:footer="567" w:bottom="624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empora LGC Uni">
    <w:charset w:val="01"/>
    <w:family w:val="roman"/>
    <w:pitch w:val="variable"/>
  </w:font>
  <w:font w:name="Calibri">
    <w:charset w:val="01"/>
    <w:family w:val="roman"/>
    <w:pitch w:val="variable"/>
  </w:font>
  <w:font w:name="Tahoma">
    <w:charset w:val="01"/>
    <w:family w:val="roman"/>
    <w:pitch w:val="variable"/>
  </w:font>
  <w:font w:name="Open Sans">
    <w:charset w:val="01"/>
    <w:family w:val="roman"/>
    <w:pitch w:val="variable"/>
  </w:font>
  <w:font w:name="Times New Roman">
    <w:charset w:val="01"/>
    <w:family w:val="roman"/>
    <w:pitch w:val="variable"/>
  </w:font>
  <w:font w:name="Arial">
    <w:charset w:val="01"/>
    <w:family w:val="roman"/>
    <w:pitch w:val="variable"/>
  </w:font>
  <w:font w:name="Cambria">
    <w:charset w:val="01"/>
    <w:family w:val="roman"/>
    <w:pitch w:val="variable"/>
  </w:font>
  <w:font w:name="Nimbus Roman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bookmarkStart w:id="1" w:name="PageNumWizard_FOOTER_Базовый1"/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4</w:t>
    </w:r>
    <w:r>
      <w:rPr/>
      <w:fldChar w:fldCharType="end"/>
    </w:r>
    <w:bookmarkEnd w:id="1"/>
  </w:p>
</w:ft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/>
    <w:lsdException w:name="Placeholder Text" w:unhideWhenUsed="0"/>
    <w:lsdException w:name="No Spacing" w:uiPriority="0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0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f32fc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Нижний колонтитул Знак"/>
    <w:basedOn w:val="DefaultParagraphFont"/>
    <w:uiPriority w:val="99"/>
    <w:qFormat/>
    <w:rsid w:val="00b15827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b15827"/>
    <w:rPr>
      <w:rFonts w:ascii="Tahoma" w:hAnsi="Tahoma" w:cs="Tahoma"/>
      <w:sz w:val="16"/>
      <w:szCs w:val="16"/>
    </w:rPr>
  </w:style>
  <w:style w:type="character" w:styleId="Style16" w:customStyle="1">
    <w:name w:val="Основной текст Знак"/>
    <w:basedOn w:val="DefaultParagraphFont"/>
    <w:qFormat/>
    <w:rsid w:val="00de74ff"/>
    <w:rPr>
      <w:rFonts w:ascii="Calibri" w:hAnsi="Calibri" w:eastAsia="Calibri" w:cs="Times New Roman"/>
      <w:lang w:eastAsia="en-US"/>
    </w:rPr>
  </w:style>
  <w:style w:type="character" w:styleId="Linenumber">
    <w:name w:val="line number"/>
    <w:qFormat/>
    <w:rPr/>
  </w:style>
  <w:style w:type="paragraph" w:styleId="Style17" w:customStyle="1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roid Sans Fallback" w:cs="Lohit Devanagari"/>
      <w:sz w:val="28"/>
      <w:szCs w:val="28"/>
    </w:rPr>
  </w:style>
  <w:style w:type="paragraph" w:styleId="BodyText">
    <w:name w:val="Body Text"/>
    <w:basedOn w:val="Normal"/>
    <w:link w:val="Style16"/>
    <w:rsid w:val="00de74ff"/>
    <w:pPr>
      <w:spacing w:lineRule="auto" w:line="240" w:before="0" w:after="120"/>
      <w:jc w:val="center"/>
    </w:pPr>
    <w:rPr>
      <w:rFonts w:ascii="Calibri" w:hAnsi="Calibri" w:eastAsia="Calibri" w:cs="Times New Roman"/>
      <w:lang w:eastAsia="en-US"/>
    </w:rPr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ohit Devanagari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Indexheading">
    <w:name w:val="index heading"/>
    <w:basedOn w:val="Normal"/>
    <w:qFormat/>
    <w:pPr>
      <w:suppressLineNumbers/>
    </w:pPr>
    <w:rPr>
      <w:rFonts w:cs="Lohit Devanagari"/>
    </w:rPr>
  </w:style>
  <w:style w:type="paragraph" w:styleId="1" w:customStyle="1">
    <w:name w:val="Обычный1"/>
    <w:qFormat/>
    <w:rsid w:val="00b15827"/>
    <w:pPr>
      <w:widowControl w:val="false"/>
      <w:suppressAutoHyphens w:val="true"/>
      <w:bidi w:val="0"/>
      <w:snapToGrid w:val="false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Style19" w:customStyle="1">
    <w:name w:val="Колонтитул"/>
    <w:basedOn w:val="Normal"/>
    <w:qFormat/>
    <w:pPr/>
    <w:rPr/>
  </w:style>
  <w:style w:type="paragraph" w:styleId="Footer">
    <w:name w:val="Footer"/>
    <w:basedOn w:val="Normal"/>
    <w:link w:val="Style14"/>
    <w:uiPriority w:val="99"/>
    <w:unhideWhenUsed/>
    <w:rsid w:val="00b15827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b15827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11" w:customStyle="1">
    <w:name w:val="1"/>
    <w:qFormat/>
    <w:rsid w:val="00d01821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paragraph" w:styleId="NoSpacing">
    <w:name w:val="No Spacing"/>
    <w:qFormat/>
    <w:rsid w:val="004b1551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ListParagraph">
    <w:name w:val="List Paragraph"/>
    <w:basedOn w:val="Normal"/>
    <w:qFormat/>
    <w:rsid w:val="00f72a68"/>
    <w:pPr>
      <w:spacing w:lineRule="auto" w:line="240" w:before="0" w:after="0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paragraph" w:styleId="Standard" w:customStyle="1">
    <w:name w:val="Standard"/>
    <w:qFormat/>
    <w:rsid w:val="002f43e8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paragraph" w:styleId="ConsPlusNormal" w:customStyle="1">
    <w:name w:val="ConsPlusNormal"/>
    <w:qFormat/>
    <w:rsid w:val="006326a0"/>
    <w:pPr>
      <w:widowControl w:val="false"/>
      <w:suppressAutoHyphens w:val="true"/>
      <w:bidi w:val="0"/>
      <w:spacing w:before="0" w:after="0"/>
      <w:ind w:firstLine="720"/>
      <w:jc w:val="left"/>
    </w:pPr>
    <w:rPr>
      <w:rFonts w:ascii="Arial" w:hAnsi="Arial" w:eastAsia="Times New Roman" w:cs="Times New Roman"/>
      <w:color w:val="auto"/>
      <w:kern w:val="0"/>
      <w:sz w:val="20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A71948-C336-4CFB-8C8F-77DC1ADEE3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5567</TotalTime>
  <Application>LibreOffice/7.6.0.3$Linux_X86_64 LibreOffice_project/60$Build-3</Application>
  <AppVersion>15.0000</AppVersion>
  <Pages>4</Pages>
  <Words>1398</Words>
  <Characters>10579</Characters>
  <CharactersWithSpaces>12333</CharactersWithSpaces>
  <Paragraphs>65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2015-11-18T13:40:00Z</dcterms:created>
  <dc:creator>Суховеева</dc:creator>
  <dc:description/>
  <dc:language>ru-RU</dc:language>
  <cp:lastModifiedBy/>
  <cp:lastPrinted>2025-10-10T08:23:17Z</cp:lastPrinted>
  <dcterms:modified xsi:type="dcterms:W3CDTF">2025-10-10T08:25:36Z</dcterms:modified>
  <cp:revision>83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