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УТВЕРЖДЕН: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приказом Контрольно-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счетной палаты Ленинского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муниципального района 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2</w:t>
      </w:r>
      <w:r>
        <w:rPr>
          <w:rFonts w:cs="Times New Roman" w:ascii="Times New Roman" w:hAnsi="Times New Roman"/>
          <w:bCs/>
          <w:sz w:val="24"/>
          <w:szCs w:val="24"/>
        </w:rPr>
        <w:t>5</w:t>
      </w:r>
      <w:r>
        <w:rPr>
          <w:rFonts w:cs="Times New Roman" w:ascii="Times New Roman" w:hAnsi="Times New Roman"/>
          <w:bCs/>
          <w:sz w:val="24"/>
          <w:szCs w:val="24"/>
        </w:rPr>
        <w:t>.12.202</w:t>
      </w:r>
      <w:r>
        <w:rPr>
          <w:rFonts w:cs="Times New Roman" w:ascii="Times New Roman" w:hAnsi="Times New Roman"/>
          <w:bCs/>
          <w:sz w:val="24"/>
          <w:szCs w:val="24"/>
        </w:rPr>
        <w:t>5</w:t>
      </w:r>
      <w:r>
        <w:rPr>
          <w:rFonts w:cs="Times New Roman" w:ascii="Times New Roman" w:hAnsi="Times New Roman"/>
          <w:bCs/>
          <w:sz w:val="24"/>
          <w:szCs w:val="24"/>
        </w:rPr>
        <w:t>г. №</w:t>
      </w:r>
      <w:r>
        <w:rPr>
          <w:rFonts w:cs="Times New Roman" w:ascii="Times New Roman" w:hAnsi="Times New Roman"/>
          <w:bCs/>
          <w:sz w:val="24"/>
          <w:szCs w:val="24"/>
        </w:rPr>
        <w:t>2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cs="Times New Roman"/>
          <w:b/>
          <w:bCs/>
          <w:color w:val="3465A4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3465A4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36"/>
          <w:szCs w:val="36"/>
        </w:rPr>
        <w:t>План</w:t>
        <w:br/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работы Контрольно-счетной палаты Ленинского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муниципального района на 2026 год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tbl>
      <w:tblPr>
        <w:tblStyle w:val="a7"/>
        <w:tblW w:w="975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80"/>
        <w:gridCol w:w="6913"/>
        <w:gridCol w:w="2057"/>
      </w:tblGrid>
      <w:tr>
        <w:trPr/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  <w:t>№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2"/>
                <w:szCs w:val="22"/>
                <w:lang w:val="ru-RU" w:eastAsia="ru-RU" w:bidi="ar-SA"/>
              </w:rPr>
              <w:t>пп</w:t>
            </w:r>
          </w:p>
        </w:tc>
        <w:tc>
          <w:tcPr>
            <w:tcW w:w="6913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Наименование мероприятия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Срок исполнения</w:t>
            </w:r>
          </w:p>
        </w:tc>
      </w:tr>
      <w:tr>
        <w:trPr/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69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Организационно-информационные мероприятия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737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1.1.</w:t>
            </w:r>
          </w:p>
        </w:tc>
        <w:tc>
          <w:tcPr>
            <w:tcW w:w="6913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Участие в работе комитетов и комиссий Ленинской районной Думы  и ее  заседаниях,  Администрации Ленинского муниципального района.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792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1.2.</w:t>
            </w:r>
          </w:p>
        </w:tc>
        <w:tc>
          <w:tcPr>
            <w:tcW w:w="69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Участие в научно-практических мероприятиях, семинарах, вебинарах, проводимых Советом контрольно-счетных органов Волгоградской области и представительством Союза МКСО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 Южном федеральном округе</w:t>
            </w: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1395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1.3.</w:t>
            </w:r>
          </w:p>
        </w:tc>
        <w:tc>
          <w:tcPr>
            <w:tcW w:w="6913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Подготовка и представление Ленинской районной Думе и Главе Ленинского муниципального района: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отчета о деятельности  контрольно-счетной палаты Ленинского муниципального района за 2025 год;</w:t>
            </w:r>
          </w:p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-информации о проведенных контрольных и экспертно-  аналитических мероприятиях.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квартал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1033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1.4.</w:t>
            </w:r>
          </w:p>
        </w:tc>
        <w:tc>
          <w:tcPr>
            <w:tcW w:w="69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Предоставление комиссии по противодействию коррупции Ленинского муниципального района информации по выявленным случаям коррупциогенных проявлений при проведении контрольных и экспертно-аналитических мероприятий.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829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1.5.</w:t>
            </w:r>
          </w:p>
        </w:tc>
        <w:tc>
          <w:tcPr>
            <w:tcW w:w="69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Предоставление  прокуратуре Ленинского района, в рамках заключенного с ней соглашения, сведений о проведенных  контрольных  и аналитических мероприятиях.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1303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1.6.</w:t>
            </w:r>
          </w:p>
        </w:tc>
        <w:tc>
          <w:tcPr>
            <w:tcW w:w="69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Предоставление контрольно-счетной палате Волгоградской области и представительству Союза МКСО в Южном федеральном округе: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- сведений об основных показателях работы Контрольно-счетной палаты </w:t>
            </w: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Лени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нского муниципального района за </w:t>
            </w: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2025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год;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представление информации по запросам.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 квартал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410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1.7.</w:t>
            </w:r>
          </w:p>
        </w:tc>
        <w:tc>
          <w:tcPr>
            <w:tcW w:w="69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Ознакомление и изучение нормативно-правовых актов.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563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1.8.</w:t>
            </w:r>
          </w:p>
        </w:tc>
        <w:tc>
          <w:tcPr>
            <w:tcW w:w="69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color w:val="000000"/>
                <w:sz w:val="2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Подготовка проекта плана работы Контрольно-счетной палаты </w:t>
            </w: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Ленинс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кого муниципального района на 2027 год.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 xml:space="preserve">IV 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квартал</w:t>
            </w:r>
          </w:p>
        </w:tc>
      </w:tr>
      <w:tr>
        <w:trPr>
          <w:trHeight w:val="1024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1.9.</w:t>
            </w:r>
          </w:p>
        </w:tc>
        <w:tc>
          <w:tcPr>
            <w:tcW w:w="69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Размещение на официальном сайте в сети Интернет  и   опубликование в средствах массовой информации материалов о проведенных контрольных и экспертно-аналитических мероприятиях и др. информации.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543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2.</w:t>
            </w:r>
          </w:p>
        </w:tc>
        <w:tc>
          <w:tcPr>
            <w:tcW w:w="69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Контрольные мероприятия: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2840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2.1.</w:t>
            </w:r>
          </w:p>
        </w:tc>
        <w:tc>
          <w:tcPr>
            <w:tcW w:w="69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Внешняя проверка бюджетной отчетности и  отдельных вопросов исполнения районного бюджета за 2025 год главных распорядителей средств бюджета района: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Ленинская районная  Дума.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Администрация Ленинского муниципального района.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Отдел образования администрации Ленинского муниципального района.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Отдел по культуре, молодежной политике, физической культуре и спорту администрации Ленинского муниципального района.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Финансовый отдел администрации Ленинского муниципального района.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uppressAutoHyphens w:val="true"/>
              <w:spacing w:lineRule="auto" w:line="240" w:before="0" w:after="0"/>
              <w:contextualSpacing/>
              <w:jc w:val="both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Контрольно-счетная палата Ленинского муниципального района.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- 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квартал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3757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2.2.</w:t>
            </w:r>
          </w:p>
        </w:tc>
        <w:tc>
          <w:tcPr>
            <w:tcW w:w="69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Внешние проверки  годового отчета  об исполнении бюджета городского  и сельских поселений за 2025 год: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1. Администрация г/ поселения г.Ленинск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2.  Администрация Бахтияровского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3.  Администрация Заплавненского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4.  Администрация Ильичевского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5.  Администрация  Каршевитского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6.  Администрация Колобовского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7. Администрация Коммунаровского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8.  Администрация Маляевского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9.  Администрация Маякского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10. Администрация Покровского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11. Администрация Рассветинского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12. Администрация Стеновского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13. Администрация Царевского с/поселения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- 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квартал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2224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2.3.</w:t>
            </w:r>
          </w:p>
        </w:tc>
        <w:tc>
          <w:tcPr>
            <w:tcW w:w="69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Проверки: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1)Проверка</w:t>
            </w:r>
            <w:r>
              <w:rPr>
                <w:rFonts w:eastAsia="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 xml:space="preserve"> законного и эффективного использования средств бюджета района (проверка ФХД):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- МКУ «Централизованная бухгалтерия» за 2025 год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2) </w:t>
            </w: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Проверка обоснованности и результативности использования бюджетных средств в 2025 году, направленных на реализацию муниципальных программ: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 «Повышение безопасности дорожного движения в Ленинском муниципальном районе»;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«Профилактика терроризма и экстремизма  на территории  Ленинского муниципального района»;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«Демография»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III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- 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IV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квартал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III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- 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IV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квартал</w:t>
            </w:r>
          </w:p>
        </w:tc>
      </w:tr>
      <w:tr>
        <w:trPr>
          <w:trHeight w:val="305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3.</w:t>
            </w:r>
          </w:p>
        </w:tc>
        <w:tc>
          <w:tcPr>
            <w:tcW w:w="69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Экспертно-аналитические  мероприятия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557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3.1.</w:t>
            </w:r>
          </w:p>
        </w:tc>
        <w:tc>
          <w:tcPr>
            <w:tcW w:w="6913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Экспертиза проектов муниципальных правовых актов в части, касающейся расходных обязательств Ленинского муниципального района, экспертиза проектов муниципальных правовых актов приводящих к изменению доходов бюджета Ленинского муниципального района, а также проектов постановлений по утверждению муниципальных программ и внесению в них изменений.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717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3.2.</w:t>
            </w:r>
          </w:p>
        </w:tc>
        <w:tc>
          <w:tcPr>
            <w:tcW w:w="691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Экспертно-аналитические мероприятия по исполнению бюджета Ленинского муниципального района за 1 квартал, 1 полугодие, 9 месяцев 2026 года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387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3.3.</w:t>
            </w:r>
          </w:p>
        </w:tc>
        <w:tc>
          <w:tcPr>
            <w:tcW w:w="6913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Подготовка экспертного заключения по отчету Администрации Ленинского муниципального района об исполнении бюджета за 2025 год.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 квартал</w:t>
            </w:r>
          </w:p>
        </w:tc>
      </w:tr>
      <w:tr>
        <w:trPr>
          <w:trHeight w:val="581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3.4.</w:t>
            </w:r>
          </w:p>
        </w:tc>
        <w:tc>
          <w:tcPr>
            <w:tcW w:w="6913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Экспертная оценка проекта бюджета на 2027-2029 годы и подготовка заключения:</w:t>
            </w:r>
          </w:p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Ленинского муниципального района;</w:t>
            </w:r>
          </w:p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Администрации городского поселения г.Ленинск.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IV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квартал</w:t>
            </w:r>
          </w:p>
        </w:tc>
      </w:tr>
      <w:tr>
        <w:trPr>
          <w:trHeight w:val="652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3.5.</w:t>
            </w:r>
          </w:p>
        </w:tc>
        <w:tc>
          <w:tcPr>
            <w:tcW w:w="6913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Экспертиза проектов  решений Ленинской районной Думы по вопросам бюджета (внесение изменений в бюджет муниципального района)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652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3.6.</w:t>
            </w:r>
          </w:p>
        </w:tc>
        <w:tc>
          <w:tcPr>
            <w:tcW w:w="6913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Анализ бюджетного процесса в Ленинском муниципальном  районе, подготовка предложений по устранению выявленных отклонений в бюджетном процессе и совершенствованию бюджетного законодательства РФ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423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6913" w:type="dxa"/>
            <w:tcBorders/>
          </w:tcPr>
          <w:p>
            <w:pPr>
              <w:pStyle w:val="Style16"/>
              <w:widowControl/>
              <w:spacing w:before="0" w:after="0"/>
              <w:rPr>
                <w:color w:val="000000"/>
              </w:rPr>
            </w:pPr>
            <w:r>
              <w:rPr>
                <w:rFonts w:eastAsia="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Мероприятия, проводимые параллельно с Контрольно-счетной палатой Волгоградской области: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423" w:hRule="atLeast"/>
        </w:trPr>
        <w:tc>
          <w:tcPr>
            <w:tcW w:w="780" w:type="dxa"/>
            <w:tcBorders>
              <w:top w:val="nil"/>
            </w:tcBorders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2"/>
              </w:rPr>
            </w:pPr>
            <w:r>
              <w:rPr>
                <w:color w:val="000000"/>
                <w:sz w:val="24"/>
                <w:szCs w:val="24"/>
              </w:rPr>
              <w:t>4.1.</w:t>
            </w:r>
          </w:p>
        </w:tc>
        <w:tc>
          <w:tcPr>
            <w:tcW w:w="6913" w:type="dxa"/>
            <w:tcBorders>
              <w:top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2"/>
                <w:szCs w:val="22"/>
                <w:lang w:val="ru-RU" w:eastAsia="ru-RU" w:bidi="ar-SA"/>
              </w:rPr>
              <w:t>Контрольное мероприятие «Проверка реализации отдельных мероприятий государственной программы Волгоградской области «Формирование современной городской среды Волгоградской области», направленных на благоустройство дворовых и общественных территорий в 2025 году в рамках реализации Национального проекта «Инфраструктура для жизни».</w:t>
            </w:r>
          </w:p>
        </w:tc>
        <w:tc>
          <w:tcPr>
            <w:tcW w:w="2057" w:type="dxa"/>
            <w:tcBorders>
              <w:top w:val="nil"/>
            </w:tcBorders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3465A4"/>
                <w:sz w:val="22"/>
              </w:rPr>
            </w:pPr>
            <w:r>
              <w:rPr>
                <w:color w:val="3465A4"/>
                <w:sz w:val="22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2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lang w:val="en-US" w:eastAsia="ru-RU" w:bidi="ar-SA"/>
              </w:rPr>
              <w:t>II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lang w:val="ru-RU" w:eastAsia="ru-RU" w:bidi="ar-SA"/>
              </w:rPr>
              <w:t xml:space="preserve"> — 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 xml:space="preserve">III 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lang w:val="ru-RU" w:eastAsia="ru-RU" w:bidi="ar-SA"/>
              </w:rPr>
              <w:t>квартал</w:t>
            </w:r>
          </w:p>
        </w:tc>
      </w:tr>
      <w:tr>
        <w:trPr>
          <w:trHeight w:val="423" w:hRule="atLeast"/>
        </w:trPr>
        <w:tc>
          <w:tcPr>
            <w:tcW w:w="780" w:type="dxa"/>
            <w:tcBorders>
              <w:top w:val="nil"/>
            </w:tcBorders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5.</w:t>
            </w:r>
          </w:p>
        </w:tc>
        <w:tc>
          <w:tcPr>
            <w:tcW w:w="6913" w:type="dxa"/>
            <w:tcBorders>
              <w:top w:val="nil"/>
            </w:tcBorders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Мероприятия по аудиту в сфере закупок товаров, работ и услуг 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kern w:val="0"/>
                <w:sz w:val="24"/>
                <w:szCs w:val="24"/>
                <w:lang w:val="ru-RU" w:eastAsia="ru-RU" w:bidi="ar-SA"/>
              </w:rPr>
              <w:t>(по распоряжению председателя)</w:t>
            </w:r>
          </w:p>
        </w:tc>
        <w:tc>
          <w:tcPr>
            <w:tcW w:w="2057" w:type="dxa"/>
            <w:tcBorders>
              <w:top w:val="nil"/>
            </w:tcBorders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423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6.</w:t>
            </w:r>
          </w:p>
        </w:tc>
        <w:tc>
          <w:tcPr>
            <w:tcW w:w="6913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Иная деятельность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423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6.1.</w:t>
            </w:r>
          </w:p>
        </w:tc>
        <w:tc>
          <w:tcPr>
            <w:tcW w:w="6913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Разработка стандартов финансового контроля (СФК), методологических рекомендаций и иных нормативных документов (при необходимости)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423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6.2.</w:t>
            </w:r>
          </w:p>
        </w:tc>
        <w:tc>
          <w:tcPr>
            <w:tcW w:w="6913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Изучение практического опыта работы других контрольно-счетных органов Волгоградской области, Российской Федерации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423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6.3.</w:t>
            </w:r>
          </w:p>
        </w:tc>
        <w:tc>
          <w:tcPr>
            <w:tcW w:w="6913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Переподготовка и повышение квалификации работников контрольно-счетной палаты (при необходимости)</w:t>
            </w:r>
            <w:bookmarkStart w:id="0" w:name="_GoBack"/>
            <w:bookmarkEnd w:id="0"/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423" w:hRule="atLeast"/>
        </w:trPr>
        <w:tc>
          <w:tcPr>
            <w:tcW w:w="780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b w:val="false"/>
                <w:bCs w:val="false"/>
                <w:sz w:val="22"/>
              </w:rPr>
            </w:pPr>
            <w:r>
              <w:rPr>
                <w:rFonts w:eastAsia="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6.4.</w:t>
            </w:r>
          </w:p>
        </w:tc>
        <w:tc>
          <w:tcPr>
            <w:tcW w:w="6913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Подготовка дел для передачи в архивный отдел администрации Ленинского муниципального района за 2020 год и составление описей дел постоянного хранения и личного состава за 2023 год</w:t>
            </w:r>
          </w:p>
        </w:tc>
        <w:tc>
          <w:tcPr>
            <w:tcW w:w="2057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- 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 квартал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Председатель Контрольно-счетной палаты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Ленинского муниципального района</w:t>
        <w:tab/>
        <w:tab/>
        <w:t xml:space="preserve">                          Т.В.Мололкина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1474" w:right="510" w:gutter="0" w:header="0" w:top="567" w:footer="0" w:bottom="62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roman"/>
    <w:pitch w:val="variable"/>
  </w:font>
  <w:font w:name="Cambria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hAnsi="Cambria" w:eastAsia="" w:cs="" w:cstheme="minorBidi" w:eastAsiaTheme="minorEastAsi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2619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ee4e31"/>
    <w:pPr>
      <w:spacing w:lineRule="auto" w:line="240"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e60385"/>
    <w:rPr>
      <w:rFonts w:ascii="Tahoma" w:hAnsi="Tahoma" w:cs="Tahoma"/>
      <w:sz w:val="16"/>
      <w:szCs w:val="16"/>
    </w:rPr>
  </w:style>
  <w:style w:type="character" w:styleId="1" w:customStyle="1">
    <w:name w:val="Заголовок 1 Знак"/>
    <w:basedOn w:val="DefaultParagraphFont"/>
    <w:uiPriority w:val="99"/>
    <w:qFormat/>
    <w:rsid w:val="00ee4e31"/>
    <w:rPr>
      <w:rFonts w:ascii="Arial" w:hAnsi="Arial" w:cs="Arial"/>
      <w:b/>
      <w:bCs/>
      <w:color w:val="000080"/>
      <w:sz w:val="20"/>
      <w:szCs w:val="20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11" w:customStyle="1">
    <w:name w:val="Обычный1"/>
    <w:qFormat/>
    <w:rsid w:val="00e60385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Arial" w:cs="Times New Roman"/>
      <w:color w:val="auto"/>
      <w:kern w:val="0"/>
      <w:sz w:val="20"/>
      <w:szCs w:val="20"/>
      <w:lang w:val="ru-RU" w:eastAsia="ar-SA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e6038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60385"/>
    <w:pPr>
      <w:spacing w:before="0" w:after="200"/>
      <w:ind w:left="720"/>
      <w:contextualSpacing/>
    </w:pPr>
    <w:rPr/>
  </w:style>
  <w:style w:type="paragraph" w:styleId="Style16" w:customStyle="1">
    <w:name w:val="Таблицы (моноширинный)"/>
    <w:basedOn w:val="Normal"/>
    <w:next w:val="Normal"/>
    <w:uiPriority w:val="99"/>
    <w:qFormat/>
    <w:rsid w:val="00ee4e31"/>
    <w:pPr>
      <w:spacing w:lineRule="auto" w:line="240" w:before="0" w:after="0"/>
      <w:jc w:val="both"/>
    </w:pPr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ee4e31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64B6B-581F-48CE-9E4F-0CD2379B8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Application>LibreOffice/7.6.0.3$Linux_X86_64 LibreOffice_project/60$Build-3</Application>
  <AppVersion>15.0000</AppVersion>
  <Pages>3</Pages>
  <Words>749</Words>
  <Characters>5563</Characters>
  <CharactersWithSpaces>6245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2010-03-25T12:48:00Z</dcterms:created>
  <dc:creator>Светлана</dc:creator>
  <dc:description/>
  <dc:language>ru-RU</dc:language>
  <cp:lastModifiedBy/>
  <cp:lastPrinted>2024-01-11T08:58:00Z</cp:lastPrinted>
  <dcterms:modified xsi:type="dcterms:W3CDTF">2025-12-30T15:18:21Z</dcterms:modified>
  <cp:revision>58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