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rPr>
                <w:sz w:val="26"/>
              </w:rPr>
            </w:pPr>
            <w:r>
              <w:rPr>
                <w:sz w:val="26"/>
              </w:rPr>
              <w:t>№</w:t>
            </w:r>
            <w:r>
              <w:rPr>
                <w:sz w:val="26"/>
              </w:rPr>
              <w:t>5</w:t>
            </w:r>
            <w:r>
              <w:rPr>
                <w:sz w:val="26"/>
              </w:rPr>
              <w:t>8/726</w:t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themeColor="text1" w:val="000000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 xml:space="preserve">  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>01.10.2025г.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по итогам финансово — экономической экспертизы проекта </w:t>
      </w:r>
      <w:r>
        <w:rPr>
          <w:rFonts w:ascii="Nimbus Roman" w:hAnsi="Nimbus Roman"/>
          <w:b/>
          <w:color w:val="111111"/>
          <w:sz w:val="25"/>
          <w:szCs w:val="25"/>
        </w:rPr>
        <w:t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 №472 «Об утверждении муниципальной программы  «Комплексное  развитие сельских территорий  Ленинского муниципального района»  (</w:t>
      </w:r>
      <w:r>
        <w:rPr>
          <w:rFonts w:ascii="Nimbus Roman" w:hAnsi="Nimbus Roman"/>
          <w:color w:val="111111"/>
          <w:sz w:val="25"/>
          <w:szCs w:val="25"/>
        </w:rPr>
        <w:t>в редакции постановлений от 26.12.16 №582, от 31.01.17 №31, от 31.03.17 №146, от 10.05.17 №221, от 24.07.17 № 339, от 23.10.17 №517, от 14.12.17 №604, от 28.12.17 №656, от 18.04.18 №197, от 04.06.2018 №299, от 27.12.2018 №718, от 17.01.2019 №26, от 14.05.2019 №209, от 24.07.2019 №354, от 30.12.2019 №747, от 20.02.2020 №69, от 09.04.2020 №159, от 06.05.2020 №213, от 04.06.2020 №245, от 03.08.2020 №347, от 25.12.2020 №638, от 15.06.2021 №321, от 29.12.2021 №676, от 04.03.2022 №101, от 05.04.2022 №177, от 01.12.2022 №603, от 07.03.2023 №98, от 21.07.2023 №350, от 14.02.2024 №42, от 20.02.2025 №60, от 28.03.2025 №153).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ab/>
      </w:r>
      <w:r>
        <w:rPr>
          <w:rFonts w:ascii="Nimbus Roman" w:hAnsi="Nimbus Roman"/>
          <w:color w:val="111111"/>
          <w:sz w:val="25"/>
          <w:szCs w:val="25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 распоряжения на проведение экспертизы № 51-р от 29.09.2025г.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19.10.2016г. № 472 «Об утверждении муниципальной программы «Комплексное  развитие сельских территорий  Ленинского муниципального района» (далее – проект Постановления, проект).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Экспертиза проведена на предмет соответствия изменений, вносимых в муниципальную программу Ленинского муниципального района «Комплексное  развитие сельских территорий 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В ходе подготовки заключения были  проанализированы вносимые изменения в Программу, направленные в Контрольно-счетную палату письмом Отдела по сельскому хозяйству и продовольствию администрации Ленинского муниципального района от 09.09.2025г. №129</w:t>
      </w:r>
      <w:r>
        <w:rPr>
          <w:rFonts w:ascii="Nimbus Roman" w:hAnsi="Nimbus Roman"/>
          <w:color w:val="111111"/>
          <w:sz w:val="25"/>
          <w:szCs w:val="25"/>
        </w:rPr>
        <w:t xml:space="preserve">, </w:t>
      </w:r>
      <w:r>
        <w:rPr>
          <w:rFonts w:ascii="Nimbus Roman" w:hAnsi="Nimbus Roman"/>
          <w:color w:val="111111"/>
          <w:sz w:val="25"/>
          <w:szCs w:val="25"/>
        </w:rPr>
        <w:t>к которому приложены:  проект Постановления;  проект паспорта Программы;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Программы; оценка вклада Программы в социально-экономическое развитие Ленинского муниципального района за 2024 год; финансово-экономическое обоснование с указанием факторов риска, оказывающие существенное влияние на сроки и результаты реализации Программы; обоснование результативности бюджетных расходов к проекту Программы на весь срок реализации; пояснительная записка к изменениям в Программу.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ab/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</w:rPr>
        <w:t>Ответственным исполнителем Программы</w:t>
      </w:r>
      <w:r>
        <w:rPr>
          <w:rFonts w:ascii="Nimbus Roman" w:hAnsi="Nimbus Roman"/>
          <w:color w:val="111111"/>
          <w:sz w:val="25"/>
          <w:szCs w:val="25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</w:rPr>
        <w:t>Соисполнители Программы:</w:t>
      </w:r>
      <w:r>
        <w:rPr>
          <w:rFonts w:ascii="Nimbus Roman" w:hAnsi="Nimbus Roman"/>
          <w:color w:val="111111"/>
          <w:sz w:val="25"/>
          <w:szCs w:val="25"/>
        </w:rPr>
        <w:t xml:space="preserve"> Отдел по жизнеобеспечению; Отдел по социальной политике администрации  Ленинского муниципального района; Отдел по культуре, молодежной политике, физической культуре и спорту администрации  Ленинского муниципального района; администрации сельских поселений Ленинского муниципального района; ТОС Ленинского муниципального района, МКУ ЛМР «Моставтотранс», ТОСы  сельских поселений.</w:t>
      </w:r>
    </w:p>
    <w:p>
      <w:pPr>
        <w:pStyle w:val="NoSpacing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ab/>
      </w:r>
      <w:r>
        <w:rPr>
          <w:rFonts w:ascii="Nimbus Roman" w:hAnsi="Nimbus Roman"/>
          <w:b/>
          <w:color w:val="111111"/>
          <w:sz w:val="25"/>
          <w:szCs w:val="25"/>
        </w:rPr>
        <w:t xml:space="preserve">Основной целью Программы </w:t>
      </w:r>
      <w:r>
        <w:rPr>
          <w:rFonts w:ascii="Nimbus Roman" w:hAnsi="Nimbus Roman"/>
          <w:color w:val="111111"/>
          <w:sz w:val="25"/>
          <w:szCs w:val="25"/>
        </w:rPr>
        <w:t>является создание комфортных условий жизнедеятельности в сельской местности, стимулирование инвестиционной активности в агропромышленном комплексе путем создания благоприятных инфраструктурных условий в сельской местности,  содействие созданию  рабочих мест на селе, активизация участия граждан, проживающих в сельской местности, в реализации общественно значимых проектов, формирование позитивного отношения к сельской местности и сельскому образу жизни.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</w:rPr>
        <w:t xml:space="preserve">Основными задачами Программы </w:t>
      </w:r>
      <w:r>
        <w:rPr>
          <w:rFonts w:ascii="Nimbus Roman" w:hAnsi="Nimbus Roman"/>
          <w:color w:val="111111"/>
          <w:sz w:val="25"/>
          <w:szCs w:val="25"/>
        </w:rPr>
        <w:t>являются: удовлетворение потребностей сельского населения, в том числе молодых семей и молодых специалистов, в благоустроенном жилье;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 грантовая поддержка местных инициатив граждан, проживающих в сельской местности; поощрение и популяризация достижений в сфере развития сельских территорий; создание экологически безопасных условий жизнедеятельности в сельских поселениях, сохранение, восстановление и наращивание человеческого, культурного и природного потенциала сельских территорий; организация водоснабжения населения.</w:t>
      </w:r>
    </w:p>
    <w:p>
      <w:pPr>
        <w:pStyle w:val="NoSpacing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</w:rPr>
        <w:t>Программа не содержит подпрограмм.</w:t>
      </w:r>
    </w:p>
    <w:p>
      <w:pPr>
        <w:pStyle w:val="ConsPlusCell"/>
        <w:widowControl w:val="false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</w:rPr>
        <w:t xml:space="preserve">Срок реализации Программы </w:t>
      </w:r>
      <w:r>
        <w:rPr>
          <w:rFonts w:ascii="Nimbus Roman" w:hAnsi="Nimbus Roman"/>
          <w:color w:val="111111"/>
          <w:sz w:val="25"/>
          <w:szCs w:val="25"/>
        </w:rPr>
        <w:t>в три этапа:</w:t>
      </w:r>
    </w:p>
    <w:p>
      <w:pPr>
        <w:pStyle w:val="ConsPlusCell"/>
        <w:widowControl w:val="false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1 этап  - 2017- 2018 годы;</w:t>
      </w:r>
    </w:p>
    <w:p>
      <w:pPr>
        <w:pStyle w:val="ConsPlusCell"/>
        <w:widowControl w:val="false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2 этап  - 2019 год;</w:t>
      </w:r>
    </w:p>
    <w:p>
      <w:pPr>
        <w:pStyle w:val="ConsPlusCell"/>
        <w:widowControl w:val="false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3 этап  - 2020-2027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bookmarkStart w:id="0" w:name="_GoBack"/>
      <w:r>
        <w:rPr>
          <w:rFonts w:ascii="Nimbus Roman" w:hAnsi="Nimbus Roman"/>
          <w:color w:val="111111"/>
          <w:sz w:val="25"/>
          <w:szCs w:val="25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  <w:bookmarkEnd w:id="0"/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Кроме того, Программой предусмотрена реализация мероприятий государственной программы Волгоградской области «Комплексное развитие сельских территорий», утвержденной постановлением Правительства Волгоградской области от 29 ноября 2013г. N681-п, а в соответствии с п.6.6. Порядка, утвержденного Постановлением №573, «В случае если Программа включает в себя мероприятия, реализуемые в рамках национальных, федеральных и/или региональных проектов, крупномасштабных долгосрочных инвестиционных проектов, то срок реализации Программы может быть приведен в соответствие со сроком реализации таких проектов (продлен).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Общий объем финансирования действующей Программы 91687,733 тыс. руб. в том числе: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 федерального бюджета 8143,41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областного бюджета 72531,849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бюджета района 3621,214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бюджетов поселений 4123,389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внебюджетных источников 3267,871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Предлагаемым проектом, вносятся изменения в объем финансирования Программы, который  составит </w:t>
      </w:r>
      <w:r>
        <w:rPr>
          <w:rFonts w:ascii="Nimbus Roman" w:hAnsi="Nimbus Roman"/>
          <w:b w:val="false"/>
          <w:bCs w:val="false"/>
          <w:color w:val="111111"/>
          <w:sz w:val="25"/>
          <w:szCs w:val="25"/>
        </w:rPr>
        <w:t>76881,693 тыс. руб.,</w:t>
      </w:r>
      <w:r>
        <w:rPr>
          <w:rFonts w:ascii="Nimbus Roman" w:hAnsi="Nimbus Roman"/>
          <w:color w:val="111111"/>
          <w:sz w:val="25"/>
          <w:szCs w:val="25"/>
        </w:rPr>
        <w:t xml:space="preserve"> в том числе: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 федерального бюджета 8143,41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областного бюджета 57405,249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бюджета района 3941,774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бюджетов поселений 4123,389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средства внебюджетных источников 3267,871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Таким образом, предлагаемым проектом Постановления предусмотрено в целом уменьшение объема финансирования на реализацию Программы на сумму 14806,04 тыс. руб., при этом финансирование Программы за счет средств областного бюджета уменьшено на 15126,60 тыс. руб. и увеличено  за счет средств бюджета Ленинского муниципального района на 320,56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Изменения по объему финансирования внесены в </w:t>
      </w:r>
      <w:r>
        <w:rPr>
          <w:rFonts w:ascii="Nimbus Roman" w:hAnsi="Nimbus Roman"/>
          <w:b/>
          <w:bCs/>
          <w:color w:val="111111"/>
          <w:sz w:val="25"/>
          <w:szCs w:val="25"/>
        </w:rPr>
        <w:t>позицию  паспорта Программы</w:t>
      </w:r>
      <w:r>
        <w:rPr>
          <w:rFonts w:ascii="Nimbus Roman" w:hAnsi="Nimbus Roman"/>
          <w:color w:val="111111"/>
          <w:sz w:val="25"/>
          <w:szCs w:val="25"/>
        </w:rPr>
        <w:t xml:space="preserve"> </w:t>
      </w:r>
      <w:r>
        <w:rPr>
          <w:rFonts w:ascii="Nimbus Roman" w:hAnsi="Nimbus Roman"/>
          <w:b/>
          <w:color w:val="111111"/>
          <w:sz w:val="25"/>
          <w:szCs w:val="25"/>
        </w:rPr>
        <w:t>«Объемы и источники финансирования Программы (подпрограммы)»</w:t>
      </w:r>
      <w:r>
        <w:rPr>
          <w:rFonts w:ascii="Nimbus Roman" w:hAnsi="Nimbus Roman"/>
          <w:color w:val="111111"/>
          <w:sz w:val="25"/>
          <w:szCs w:val="25"/>
        </w:rPr>
        <w:t xml:space="preserve"> и в текстовую часть Программы </w:t>
      </w:r>
      <w:r>
        <w:rPr>
          <w:rFonts w:ascii="Nimbus Roman" w:hAnsi="Nimbus Roman"/>
          <w:b/>
          <w:color w:val="111111"/>
          <w:sz w:val="25"/>
          <w:szCs w:val="25"/>
        </w:rPr>
        <w:t>в раздел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В связи с изменением объема финансирования вносятся изменения в </w:t>
      </w:r>
      <w:r>
        <w:rPr>
          <w:rFonts w:ascii="Nimbus Roman" w:hAnsi="Nimbus Roman"/>
          <w:b/>
          <w:bCs/>
          <w:color w:val="111111"/>
          <w:sz w:val="25"/>
          <w:szCs w:val="25"/>
        </w:rPr>
        <w:t>раздел 3</w:t>
      </w:r>
      <w:r>
        <w:rPr>
          <w:rFonts w:ascii="Nimbus Roman" w:hAnsi="Nimbus Roman"/>
          <w:color w:val="111111"/>
          <w:sz w:val="25"/>
          <w:szCs w:val="25"/>
        </w:rPr>
        <w:t xml:space="preserve"> текстовой части паспорта Программы </w:t>
      </w:r>
      <w:r>
        <w:rPr>
          <w:rFonts w:ascii="Nimbus Roman" w:hAnsi="Nimbus Roman"/>
          <w:b/>
          <w:bCs/>
          <w:color w:val="111111"/>
          <w:sz w:val="25"/>
          <w:szCs w:val="25"/>
        </w:rPr>
        <w:t>«Целевые показатели муниципальной программы, ожидаемые конечные результаты реализации муниципальной программы»,</w:t>
      </w:r>
      <w:r>
        <w:rPr>
          <w:rFonts w:ascii="Nimbus Roman" w:hAnsi="Nimbus Roman"/>
          <w:color w:val="111111"/>
          <w:sz w:val="25"/>
          <w:szCs w:val="25"/>
        </w:rPr>
        <w:t xml:space="preserve"> где отдельные целевые показатели изменены как в сторону увеличения, так и в сторону уменьшения.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Изменение срока реализации Программы до 2028 года внесено в </w:t>
      </w:r>
      <w:r>
        <w:rPr>
          <w:rFonts w:ascii="Nimbus Roman" w:hAnsi="Nimbus Roman"/>
          <w:b/>
          <w:bCs/>
          <w:color w:val="111111"/>
          <w:sz w:val="25"/>
          <w:szCs w:val="25"/>
        </w:rPr>
        <w:t>позицию  паспорта Программы  «Сроки и этапы реализации Программы (подпрограммы)»</w:t>
      </w:r>
      <w:r>
        <w:rPr>
          <w:rFonts w:ascii="Nimbus Roman" w:hAnsi="Nimbus Roman"/>
          <w:color w:val="111111"/>
          <w:sz w:val="25"/>
          <w:szCs w:val="25"/>
        </w:rPr>
        <w:t xml:space="preserve"> и в текстовую часть паспорта Программы р</w:t>
      </w:r>
      <w:r>
        <w:rPr>
          <w:rFonts w:ascii="Nimbus Roman" w:hAnsi="Nimbus Roman"/>
          <w:b/>
          <w:bCs/>
          <w:color w:val="111111"/>
          <w:sz w:val="25"/>
          <w:szCs w:val="25"/>
        </w:rPr>
        <w:t>аздел 2 «Цели, задачи, сроки и этапы реализации муниципальной программы»</w:t>
      </w:r>
      <w:r>
        <w:rPr>
          <w:rFonts w:ascii="Nimbus Roman" w:hAnsi="Nimbus Roman"/>
          <w:color w:val="111111"/>
          <w:sz w:val="25"/>
          <w:szCs w:val="25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Nimbus Roman" w:hAnsi="Nimbus Roman"/>
          <w:color w:val="111111"/>
          <w:sz w:val="25"/>
          <w:szCs w:val="25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Nimbus Roman" w:hAnsi="Nimbus Roman"/>
          <w:b/>
          <w:bCs/>
          <w:color w:val="111111"/>
          <w:sz w:val="25"/>
          <w:szCs w:val="25"/>
        </w:rPr>
        <w:t xml:space="preserve">форму 1 </w:t>
      </w:r>
      <w:r>
        <w:rPr>
          <w:rFonts w:ascii="Nimbus Roman" w:hAnsi="Nimbus Roman"/>
          <w:color w:val="111111"/>
          <w:sz w:val="25"/>
          <w:szCs w:val="25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Nimbus Roman" w:hAnsi="Nimbus Roman"/>
          <w:b/>
          <w:bCs/>
          <w:color w:val="111111"/>
          <w:sz w:val="25"/>
          <w:szCs w:val="25"/>
        </w:rPr>
        <w:t>форму 2</w:t>
      </w:r>
      <w:r>
        <w:rPr>
          <w:rFonts w:ascii="Nimbus Roman" w:hAnsi="Nimbus Roman"/>
          <w:color w:val="111111"/>
          <w:sz w:val="25"/>
          <w:szCs w:val="25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Nimbus Roman" w:hAnsi="Nimbus Roman"/>
          <w:b/>
          <w:bCs/>
          <w:color w:val="111111"/>
          <w:sz w:val="25"/>
          <w:szCs w:val="25"/>
        </w:rPr>
        <w:t>форму 3</w:t>
      </w:r>
      <w:r>
        <w:rPr>
          <w:rFonts w:ascii="Nimbus Roman" w:hAnsi="Nimbus Roman"/>
          <w:color w:val="111111"/>
          <w:sz w:val="25"/>
          <w:szCs w:val="25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целевым показателям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Проверкой соответствия Программы по содержанию Порядку, утвержденному Постановлением №573, нарушений не установлено.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</w:r>
    </w:p>
    <w:p>
      <w:pPr>
        <w:pStyle w:val="NoSpacing"/>
        <w:ind w:firstLine="36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  <w:u w:val="single"/>
        </w:rPr>
        <w:t>Вывод:</w:t>
      </w:r>
      <w:r>
        <w:rPr>
          <w:rFonts w:ascii="Nimbus Roman" w:hAnsi="Nimbus Roman"/>
          <w:color w:val="111111"/>
          <w:sz w:val="25"/>
          <w:szCs w:val="25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19.10.2016г.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        </w:t>
      </w:r>
      <w:r>
        <w:rPr>
          <w:rFonts w:ascii="Nimbus Roman" w:hAnsi="Nimbus Roman"/>
          <w:color w:val="111111"/>
          <w:sz w:val="25"/>
          <w:szCs w:val="25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Nimbus Roman" w:hAnsi="Nimbus Roman"/>
          <w:b/>
          <w:color w:val="111111"/>
          <w:sz w:val="25"/>
          <w:szCs w:val="25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Nimbus Roman" w:hAnsi="Nimbus Roman"/>
          <w:color w:val="111111"/>
          <w:sz w:val="25"/>
          <w:szCs w:val="25"/>
        </w:rPr>
        <w:t>.</w:t>
      </w:r>
    </w:p>
    <w:p>
      <w:pPr>
        <w:pStyle w:val="NoSpacing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</w:r>
    </w:p>
    <w:p>
      <w:pPr>
        <w:pStyle w:val="NoSpacing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Ст. инспектор 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района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sectPr>
      <w:footerReference w:type="default" r:id="rId3"/>
      <w:type w:val="nextPage"/>
      <w:pgSz w:w="11906" w:h="16838"/>
      <w:pgMar w:left="1417" w:right="567" w:gutter="0" w:header="0" w:top="567" w:footer="567" w:bottom="62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388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503887"/>
    <w:rPr/>
  </w:style>
  <w:style w:type="character" w:styleId="Hyperlink">
    <w:name w:val="Hyperlink"/>
    <w:rsid w:val="00503887"/>
    <w:rPr>
      <w:color w:val="0000FF"/>
      <w:u w:val="single"/>
    </w:rPr>
  </w:style>
  <w:style w:type="character" w:styleId="Style14" w:customStyle="1">
    <w:name w:val="Нижний колонтитул Знак"/>
    <w:basedOn w:val="DefaultParagraphFont"/>
    <w:qFormat/>
    <w:rsid w:val="00503887"/>
    <w:rPr/>
  </w:style>
  <w:style w:type="character" w:styleId="Style15" w:customStyle="1">
    <w:name w:val="Текст выноски Знак"/>
    <w:basedOn w:val="DefaultParagraphFont"/>
    <w:link w:val="BalloonText"/>
    <w:semiHidden/>
    <w:qFormat/>
    <w:rsid w:val="00503887"/>
    <w:rPr>
      <w:rFonts w:ascii="Tahoma" w:hAnsi="Tahoma"/>
      <w:sz w:val="16"/>
    </w:rPr>
  </w:style>
  <w:style w:type="character" w:styleId="Style16" w:customStyle="1">
    <w:name w:val="Верхний колонтитул Знак"/>
    <w:basedOn w:val="DefaultParagraphFont"/>
    <w:semiHidden/>
    <w:qFormat/>
    <w:rsid w:val="00503887"/>
    <w:rPr>
      <w:rFonts w:ascii="Times New Roman" w:hAnsi="Times New Roman"/>
      <w:sz w:val="20"/>
    </w:rPr>
  </w:style>
  <w:style w:type="character" w:styleId="Style17" w:customStyle="1">
    <w:name w:val="Гипертекстовая ссылка"/>
    <w:basedOn w:val="DefaultParagraphFont"/>
    <w:qFormat/>
    <w:rsid w:val="00503887"/>
    <w:rPr>
      <w:color w:val="106BBE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503887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 w:customStyle="1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rsid w:val="0050388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semiHidden/>
    <w:qFormat/>
    <w:rsid w:val="00503887"/>
    <w:pPr>
      <w:spacing w:lineRule="auto" w:line="240" w:before="0" w:after="0"/>
    </w:pPr>
    <w:rPr>
      <w:rFonts w:ascii="Tahoma" w:hAnsi="Tahoma"/>
      <w:sz w:val="16"/>
    </w:rPr>
  </w:style>
  <w:style w:type="paragraph" w:styleId="NoSpacing">
    <w:name w:val="No Spacing"/>
    <w:qFormat/>
    <w:rsid w:val="0050388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1"/>
    <w:qFormat/>
    <w:rsid w:val="0050388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er">
    <w:name w:val="Header"/>
    <w:basedOn w:val="Normal"/>
    <w:link w:val="Style16"/>
    <w:semiHidden/>
    <w:rsid w:val="0050388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/>
      <w:sz w:val="20"/>
    </w:rPr>
  </w:style>
  <w:style w:type="paragraph" w:styleId="ConsPlusNormal" w:customStyle="1">
    <w:name w:val="ConsPlusNormal"/>
    <w:qFormat/>
    <w:rsid w:val="00503887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qFormat/>
    <w:rsid w:val="00503887"/>
    <w:pPr>
      <w:spacing w:lineRule="auto" w:line="240" w:before="0" w:after="0"/>
      <w:ind w:left="720"/>
      <w:contextualSpacing/>
    </w:pPr>
    <w:rPr>
      <w:sz w:val="24"/>
    </w:rPr>
  </w:style>
  <w:style w:type="paragraph" w:styleId="Standard" w:customStyle="1">
    <w:name w:val="Standard"/>
    <w:qFormat/>
    <w:rsid w:val="0050388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Cell" w:customStyle="1">
    <w:name w:val="ConsPlusCell"/>
    <w:basedOn w:val="Normal"/>
    <w:qFormat/>
    <w:rsid w:val="00503887"/>
    <w:pPr>
      <w:spacing w:lineRule="auto" w:line="240" w:before="0" w:after="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50388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EDFA2-3A8E-4EF9-AE8E-EED7D3D5D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2101</TotalTime>
  <Application>LibreOffice/7.6.0.3$Linux_X86_64 LibreOffice_project/60$Build-3</Application>
  <AppVersion>15.0000</AppVersion>
  <Pages>4</Pages>
  <Words>1387</Words>
  <Characters>10693</Characters>
  <CharactersWithSpaces>12254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2020-04-06T07:10:00Z</dcterms:created>
  <dc:creator>КСП</dc:creator>
  <dc:description/>
  <dc:language>ru-RU</dc:language>
  <cp:lastModifiedBy/>
  <cp:lastPrinted>2025-10-08T13:24:25Z</cp:lastPrinted>
  <dcterms:modified xsi:type="dcterms:W3CDTF">2025-10-08T17:04:40Z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