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ListParagraph"/>
        <w:ind w:left="0"/>
        <w:jc w:val="right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ListParagraph"/>
        <w:ind w:left="0"/>
        <w:jc w:val="right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Рассмотрен на заседании </w:t>
      </w:r>
    </w:p>
    <w:p>
      <w:pPr>
        <w:pStyle w:val="ListParagraph"/>
        <w:ind w:left="0"/>
        <w:jc w:val="right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>Ленинской районной Думы</w:t>
      </w:r>
    </w:p>
    <w:p>
      <w:pPr>
        <w:pStyle w:val="ListParagraph"/>
        <w:ind w:left="0"/>
        <w:jc w:val="right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</w:t>
      </w:r>
      <w:r>
        <w:rPr>
          <w:rFonts w:ascii="Nimbus Roman" w:hAnsi="Nimbus Roman"/>
          <w:color w:val="000000"/>
          <w:sz w:val="24"/>
          <w:szCs w:val="24"/>
          <w:lang w:val="ru-RU"/>
        </w:rPr>
        <w:t>(решение №</w:t>
      </w:r>
      <w:r>
        <w:rPr>
          <w:rFonts w:ascii="Nimbus Roman" w:hAnsi="Nimbus Roman"/>
          <w:color w:val="000000"/>
          <w:sz w:val="24"/>
          <w:szCs w:val="24"/>
          <w:lang w:val="ru-RU"/>
        </w:rPr>
        <w:t>2/12</w:t>
      </w:r>
      <w:r>
        <w:rPr>
          <w:rFonts w:ascii="Nimbus Roman" w:hAnsi="Nimbus Roman"/>
          <w:color w:val="000000"/>
          <w:sz w:val="24"/>
          <w:szCs w:val="24"/>
          <w:lang w:val="ru-RU"/>
        </w:rPr>
        <w:t xml:space="preserve">  от </w:t>
      </w:r>
      <w:r>
        <w:rPr>
          <w:rFonts w:ascii="Nimbus Roman" w:hAnsi="Nimbus Roman"/>
          <w:color w:val="000000"/>
          <w:sz w:val="24"/>
          <w:szCs w:val="24"/>
          <w:lang w:val="ru-RU"/>
        </w:rPr>
        <w:t>12.03.</w:t>
      </w:r>
      <w:r>
        <w:rPr>
          <w:rFonts w:ascii="Nimbus Roman" w:hAnsi="Nimbus Roman"/>
          <w:color w:val="000000"/>
          <w:sz w:val="24"/>
          <w:szCs w:val="24"/>
          <w:lang w:val="ru-RU"/>
        </w:rPr>
        <w:t>2026г.)</w:t>
      </w:r>
    </w:p>
    <w:p>
      <w:pPr>
        <w:pStyle w:val="ListParagraph"/>
        <w:ind w:left="0"/>
        <w:jc w:val="center"/>
        <w:rPr>
          <w:rFonts w:ascii="Nimbus Roman" w:hAnsi="Nimbus Roman"/>
          <w:b/>
          <w:i/>
          <w:i/>
          <w:color w:val="000000"/>
          <w:sz w:val="24"/>
          <w:szCs w:val="24"/>
          <w:u w:val="single"/>
          <w:lang w:val="ru-RU"/>
        </w:rPr>
      </w:pPr>
      <w:r>
        <w:rPr>
          <w:rFonts w:ascii="Nimbus Roman" w:hAnsi="Nimbus Roman"/>
          <w:b/>
          <w:i/>
          <w:color w:val="000000"/>
          <w:sz w:val="24"/>
          <w:szCs w:val="24"/>
          <w:u w:val="single"/>
          <w:lang w:val="ru-RU"/>
        </w:rPr>
      </w:r>
    </w:p>
    <w:p>
      <w:pPr>
        <w:pStyle w:val="ListParagraph"/>
        <w:ind w:left="0"/>
        <w:jc w:val="center"/>
        <w:rPr>
          <w:rFonts w:ascii="Nimbus Roman" w:hAnsi="Nimbus Roman"/>
          <w:b/>
          <w:i/>
          <w:i/>
          <w:color w:val="000000"/>
          <w:lang w:val="ru-RU"/>
        </w:rPr>
      </w:pPr>
      <w:r>
        <w:rPr>
          <w:rFonts w:ascii="Nimbus Roman" w:hAnsi="Nimbus Roman"/>
          <w:b/>
          <w:i/>
          <w:color w:val="000000"/>
          <w:lang w:val="ru-RU"/>
        </w:rPr>
      </w:r>
    </w:p>
    <w:p>
      <w:pPr>
        <w:pStyle w:val="ListParagraph"/>
        <w:ind w:left="0"/>
        <w:jc w:val="center"/>
        <w:rPr>
          <w:color w:val="000000"/>
        </w:rPr>
      </w:pP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  <w:t xml:space="preserve">Отчет о деятельности Контрольно-счетной палаты </w:t>
      </w:r>
    </w:p>
    <w:p>
      <w:pPr>
        <w:pStyle w:val="ListParagraph"/>
        <w:ind w:left="0"/>
        <w:jc w:val="center"/>
        <w:rPr>
          <w:color w:val="000000"/>
        </w:rPr>
      </w:pP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  <w:t>Ленинского муниципального района за 2025 год.</w:t>
      </w:r>
    </w:p>
    <w:p>
      <w:pPr>
        <w:pStyle w:val="ListParagraph"/>
        <w:ind w:left="0"/>
        <w:jc w:val="center"/>
        <w:rPr>
          <w:color w:val="000000"/>
        </w:rPr>
      </w:pPr>
      <w:r>
        <w:rPr>
          <w:color w:val="000000"/>
        </w:rPr>
      </w:r>
    </w:p>
    <w:p>
      <w:pPr>
        <w:pStyle w:val="ListParagraph"/>
        <w:ind w:left="0"/>
        <w:jc w:val="center"/>
        <w:rPr>
          <w:color w:val="000000"/>
        </w:rPr>
      </w:pPr>
      <w:r>
        <w:rPr>
          <w:color w:val="000000"/>
        </w:rPr>
      </w:r>
    </w:p>
    <w:p>
      <w:pPr>
        <w:pStyle w:val="ListParagraph"/>
        <w:ind w:left="0"/>
        <w:jc w:val="center"/>
        <w:rPr>
          <w:rFonts w:ascii="Nimbus Roman" w:hAnsi="Nimbus Roman"/>
          <w:b/>
          <w:i/>
          <w:i/>
          <w:color w:val="000000"/>
          <w:sz w:val="26"/>
          <w:szCs w:val="26"/>
          <w:lang w:val="ru-RU"/>
        </w:rPr>
      </w:pPr>
      <w:r>
        <w:rPr>
          <w:rFonts w:ascii="Nimbus Roman" w:hAnsi="Nimbus Roman"/>
          <w:b/>
          <w:i/>
          <w:color w:val="000000"/>
          <w:sz w:val="26"/>
          <w:szCs w:val="26"/>
          <w:lang w:val="ru-RU"/>
        </w:rPr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Настоящий отчет подготовлен в соответствии с  требованиями статьи 19 Федерального закона №6-ФЗ,  статьи 20 Положения  «О Контрольно-счетной палате Ленинского муниципального района», утвержденного решением Ленинской районной Думы   от 30 ноября 2021 года № 20/63 (далее — Положение о Контрольно-счетной палате), Стандарта организации деятельности «Подготовка отчета о работе Контрольно-счетной палаты Ленинского муниципального района», утвержденного распоряжением КСП от 26.01.2015г. No 1-р и содержит  информацию об основных  направлениях и результатах  деятельности Контрольно-счетной палаты Ленинского муниципального района (далее — Контрольно-счетная палата, КСП)  за 2025 год.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Структура Контрольно-счетной палаты утверждена в составе 2 единиц: председателя и старшего инспектора. Фактически работает 2 человека. Содержание старшего инспектора осуществляется за счет межбюджетных трансфертов </w:t>
      </w:r>
      <w:r>
        <w:rPr>
          <w:rFonts w:cs="Times New Roman" w:ascii="Nimbus Roman" w:hAnsi="Nimbus Roman"/>
          <w:color w:val="000000"/>
          <w:sz w:val="26"/>
          <w:szCs w:val="26"/>
        </w:rPr>
        <w:t>из бюджетов поселений, перечисляемых в соответствии с заключенными соглашениями на осуществление части полномочий по внешнему муниципальному финансовому контролю.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1.Общие результаты и показатели работы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Контрольно-счетной палаты  в 2025 году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Nimbus Roman" w:hAnsi="Nimbus Roman" w:eastAsia="Times New Roman" w:cs="Times New Roman"/>
          <w:b/>
          <w:bCs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  <w:t> 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План работы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Контрольно-счетной палаты </w:t>
      </w:r>
      <w:r>
        <w:rPr>
          <w:rFonts w:cs="Times New Roman" w:ascii="Nimbus Roman" w:hAnsi="Nimbus Roman"/>
          <w:color w:val="000000"/>
          <w:sz w:val="26"/>
          <w:szCs w:val="26"/>
        </w:rPr>
        <w:t>на 2025 год сформирован, исходя из необходимости реализации задач, поставленных перед КСП Положением о Контрольно-счетной палате.</w:t>
      </w:r>
    </w:p>
    <w:p>
      <w:pPr>
        <w:pStyle w:val="Normal"/>
        <w:widowControl w:val="false"/>
        <w:suppressAutoHyphens w:val="true"/>
        <w:spacing w:lineRule="auto" w:line="240" w:before="0" w:after="0"/>
        <w:jc w:val="both"/>
        <w:rPr>
          <w:color w:val="000000"/>
        </w:rPr>
      </w:pPr>
      <w:r>
        <w:rPr>
          <w:rFonts w:eastAsia="SimSun" w:cs="Mangal" w:ascii="Nimbus Roman" w:hAnsi="Nimbus Roman"/>
          <w:color w:val="000000"/>
          <w:kern w:val="2"/>
          <w:sz w:val="26"/>
          <w:szCs w:val="26"/>
          <w:lang w:eastAsia="hi-IN" w:bidi="hi-IN"/>
        </w:rPr>
        <w:tab/>
        <w:t xml:space="preserve">Помимо основной задачи – контроля за исполнением бюджета Ленинского муниципального района, в 2025 году, как и в предыдущих годах, 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КСП </w:t>
      </w:r>
      <w:r>
        <w:rPr>
          <w:rFonts w:eastAsia="SimSun" w:cs="Mangal" w:ascii="Nimbus Roman" w:hAnsi="Nimbus Roman"/>
          <w:color w:val="000000"/>
          <w:kern w:val="2"/>
          <w:sz w:val="26"/>
          <w:szCs w:val="26"/>
          <w:lang w:eastAsia="hi-IN" w:bidi="hi-IN"/>
        </w:rPr>
        <w:t xml:space="preserve">осуществлялся контроль за исполнением бюджетов 13 поселений Ленинского муниципального района: 12 сельских и 1 городского поселения  города Ленинск,  в рамках заключенных  Соглашений о передаче части полномочий по осуществлению внешнего муниципального финансового контроля.  </w:t>
      </w:r>
    </w:p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Основные показатели, характеризующие работу Контрольно-счетной палаты в 2025 году,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приведены в таблице:</w:t>
      </w:r>
    </w:p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</w:rPr>
      </w:pPr>
      <w:r>
        <w:rPr>
          <w:rFonts w:eastAsia="Times New Roman" w:cs="Times New Roman" w:ascii="Times New Roman" w:hAnsi="Times New Roman"/>
          <w:color w:val="000000"/>
        </w:rPr>
      </w:r>
    </w:p>
    <w:tbl>
      <w:tblPr>
        <w:tblW w:w="9584" w:type="dxa"/>
        <w:jc w:val="left"/>
        <w:tblInd w:w="2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7"/>
        <w:gridCol w:w="8064"/>
        <w:gridCol w:w="1083"/>
      </w:tblGrid>
      <w:tr>
        <w:trPr>
          <w:trHeight w:val="315" w:hRule="atLeast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№</w:t>
            </w:r>
          </w:p>
        </w:tc>
        <w:tc>
          <w:tcPr>
            <w:tcW w:w="80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Показатели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2025 год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Проведено контрольных и экспертно-аналитических мероприятий (ед.), в т. ч.: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контрольных мероприятий,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24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экспертно-аналитических мероприятий,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46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в том числе экспертиз проектов нормативно-правовых актов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43</w:t>
            </w:r>
          </w:p>
        </w:tc>
      </w:tr>
      <w:tr>
        <w:trPr>
          <w:trHeight w:val="525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объектов охваченных  контрольными и экспертно-аналитическими мероприятиями, всего,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81</w:t>
            </w:r>
          </w:p>
        </w:tc>
      </w:tr>
      <w:tr>
        <w:trPr>
          <w:trHeight w:val="525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Выявлено нарушений в ходе осуществления внешнего муниципального финансового контроля, тыс. руб., в том числе:</w:t>
            </w:r>
          </w:p>
        </w:tc>
        <w:tc>
          <w:tcPr>
            <w:tcW w:w="1083" w:type="dxa"/>
            <w:tcBorders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9730,50</w:t>
            </w:r>
          </w:p>
        </w:tc>
      </w:tr>
      <w:tr>
        <w:trPr>
          <w:trHeight w:val="2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неэффективное использование бюджетных средств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254,27</w:t>
            </w:r>
          </w:p>
        </w:tc>
      </w:tr>
      <w:tr>
        <w:trPr>
          <w:trHeight w:val="2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иные нарушения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9476,23</w:t>
            </w:r>
          </w:p>
        </w:tc>
      </w:tr>
      <w:tr>
        <w:trPr>
          <w:trHeight w:val="525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нарушений в ходе осуществления внешнего  муниципального финансового контроля,  ед.</w:t>
            </w:r>
          </w:p>
        </w:tc>
        <w:tc>
          <w:tcPr>
            <w:tcW w:w="10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38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направленных представлений,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17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4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Количество выполненных представлений, ед.</w:t>
            </w: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14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806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Количество представлений, сроки выполнения которых не наступили, ед.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Nimbus Roman" w:hAnsi="Nimbus Roman"/>
                <w:color w:val="000000"/>
                <w:sz w:val="20"/>
                <w:szCs w:val="20"/>
              </w:rPr>
            </w:pPr>
            <w:r>
              <w:rPr>
                <w:rFonts w:ascii="Nimbus Roman" w:hAnsi="Nimbus Roman"/>
                <w:color w:val="000000"/>
                <w:sz w:val="20"/>
                <w:szCs w:val="20"/>
              </w:rPr>
              <w:t>3</w:t>
            </w:r>
          </w:p>
        </w:tc>
      </w:tr>
      <w:tr>
        <w:trPr>
          <w:trHeight w:val="300" w:hRule="atLeast"/>
        </w:trPr>
        <w:tc>
          <w:tcPr>
            <w:tcW w:w="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06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Устранено выявленных нарушений, тыс. руб.</w:t>
            </w:r>
          </w:p>
        </w:tc>
        <w:tc>
          <w:tcPr>
            <w:tcW w:w="1083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color w:val="00000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9462,49</w:t>
            </w:r>
          </w:p>
        </w:tc>
      </w:tr>
    </w:tbl>
    <w:p>
      <w:pPr>
        <w:pStyle w:val="Normal"/>
        <w:tabs>
          <w:tab w:val="left" w:pos="708" w:leader="none"/>
          <w:tab w:val="left" w:pos="3260" w:leader="none"/>
        </w:tabs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kern w:val="2"/>
          <w:sz w:val="26"/>
          <w:szCs w:val="26"/>
        </w:rPr>
        <w:t>В соответствии с Положением о Контрольно-счетной палате, материалы о результатах, проведенных в 2025 году мероприятий внешнего муниципального финансового контроля, вытекающих из них выводах, рекомендациях и предложениях, направлялись в Ленинскую районную Думу, Главе Ленинского муниципального 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ListParagraph"/>
        <w:shd w:val="clear" w:color="auto" w:fill="FFFFFF"/>
        <w:spacing w:lineRule="atLeast" w:line="263" w:before="0" w:after="100"/>
        <w:ind w:left="1080"/>
        <w:contextualSpacing/>
        <w:jc w:val="center"/>
        <w:rPr>
          <w:color w:val="000000"/>
        </w:rPr>
      </w:pP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>2. Основные итоги и результаты контрольной деятельности</w:t>
      </w:r>
    </w:p>
    <w:p>
      <w:pPr>
        <w:pStyle w:val="ListParagraph"/>
        <w:shd w:val="clear" w:color="auto" w:fill="FFFFFF"/>
        <w:spacing w:lineRule="atLeast" w:line="263" w:before="0" w:after="100"/>
        <w:ind w:left="1080"/>
        <w:contextualSpacing/>
        <w:jc w:val="center"/>
        <w:rPr>
          <w:color w:val="000000"/>
        </w:rPr>
      </w:pP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Контрольно-счетной палаты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 в 2025 году</w:t>
      </w:r>
    </w:p>
    <w:p>
      <w:pPr>
        <w:pStyle w:val="ListParagraph"/>
        <w:shd w:val="clear" w:color="auto" w:fill="FFFFFF"/>
        <w:spacing w:lineRule="atLeast" w:line="263" w:before="0" w:after="100"/>
        <w:ind w:left="1080"/>
        <w:contextualSpacing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atLeast" w:line="263" w:before="0" w:after="100"/>
        <w:ind w:firstLine="708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Важнейшим направлением в деятельности КСП, в рамках последующего контроля исполнения бюджета, являются внешние проверки отчетов об исполнении бюджета. В 2025 году проведено  20 внешних проверок  об исполнении бюджетов муниципального района и входящих в него поселений  за 2024 год  (в том числе 6 главных администраторов и распорядителей бюджетных средств, 1 бюджет муниципального района,  12 сельских поселений и 1 городское поселение Ленинского муниципального района).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соответствии со ст. 264.4 Бюджетного кодекса РФ КСП в 2025 году осуществляла внешние проверки отчетов  об исполнении бюджетов городского и сельских  поселений за 2024 год на основании заключенных с поселениями соглашений о передаче части полномочий по осуществлению внешнего финансового контроля.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Объем проверенных средств составил 205036,08 тыс. руб. В ходе проверок установлены нарушения законодательства на общую сумму 2405,72 тыс. руб. , в том числе: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eastAsia="ar-SA"/>
        </w:rPr>
        <w:t>нарушение ст. 34 Бюджетного кодекса РФ в части неэффективного использования бюджетных средств,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 направленных на оплату штрафов и пеней за нарушение сроков оплаты налогов и платежей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на 158,55 тыс. руб., а также нарушения по учету основных средств, а именно не отнесение в казну муниципального имущества на сумму 2197,88 тыс. руб. и необоснованное начисление заработной платы, премий на сумму 49,29 тыс. руб. Устранено нарушений на сумму 2247,17 тыс. руб.</w:t>
      </w:r>
    </w:p>
    <w:p>
      <w:pPr>
        <w:pStyle w:val="ListParagraph"/>
        <w:tabs>
          <w:tab w:val="clear" w:pos="708"/>
          <w:tab w:val="left" w:pos="0" w:leader="none"/>
        </w:tabs>
        <w:ind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ab/>
        <w:t>И</w:t>
      </w: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меют место нарушения  в части утверждения и исполнения бюджета:</w:t>
      </w:r>
    </w:p>
    <w:p>
      <w:pPr>
        <w:pStyle w:val="Style26"/>
        <w:ind w:firstLine="720" w:left="0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в нарушение ст. 28 и ст.36 Бюджетного кодекса РФ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не все решения об утверждении бюджета опубликовывались в средствах массовой информации</w:t>
      </w:r>
      <w:r>
        <w:rPr>
          <w:rFonts w:cs="Times New Roman" w:ascii="Nimbus Roman" w:hAnsi="Nimbus Roman"/>
          <w:color w:val="000000"/>
          <w:sz w:val="26"/>
          <w:szCs w:val="26"/>
        </w:rPr>
        <w:t>, тем самым нарушен один из принципов бюджетной системы «прозрачности (открытости)» (Заплавинское с/п, Коммунаровское с/п, Маляевское с/п, );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sz w:val="26"/>
          <w:szCs w:val="26"/>
        </w:rPr>
      </w:pPr>
      <w:r>
        <w:rPr>
          <w:rFonts w:cs="Times New Roman" w:ascii="Nimbus Roman" w:hAnsi="Nimbus Roman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в нарушение п.2 ст.5 Бюджетного кодекса РФ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р</w:t>
      </w:r>
      <w:r>
        <w:rPr>
          <w:rFonts w:cs="Times New Roman" w:ascii="Nimbus Roman" w:hAnsi="Nimbus Roman"/>
          <w:b/>
          <w:color w:val="000000"/>
          <w:sz w:val="26"/>
          <w:szCs w:val="26"/>
          <w:shd w:fill="FFFFFF" w:val="clear"/>
        </w:rPr>
        <w:t>ешение о бюджете не своевременно публиковалось в средствах массовой информации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 xml:space="preserve">  (городское поселение г.Ленинск, Бахтияровское с/п, </w:t>
      </w:r>
      <w:r>
        <w:rPr>
          <w:rFonts w:eastAsia="Times New Roman" w:cs="Times New Roman" w:ascii="Nimbus Roman" w:hAnsi="Nimbus Roman"/>
          <w:color w:val="000000"/>
          <w:sz w:val="26"/>
          <w:szCs w:val="26"/>
          <w:shd w:fill="FFFFFF" w:val="clear"/>
          <w:lang w:val="ru-RU"/>
        </w:rPr>
        <w:t xml:space="preserve">Каршевитское с/п, Коммунаровское с/п, 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  <w:lang w:val="ru-RU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Маякское с/п, </w:t>
      </w:r>
      <w:r>
        <w:rPr>
          <w:rFonts w:eastAsia="Times New Roman" w:cs="Times New Roman" w:ascii="Nimbus Roman" w:hAnsi="Nimbus Roman"/>
          <w:color w:val="000000"/>
          <w:sz w:val="26"/>
          <w:szCs w:val="26"/>
          <w:shd w:fill="FFFFFF" w:val="clear"/>
          <w:lang w:val="ru-RU"/>
        </w:rPr>
        <w:t>Покровское с/п, Степновское с/п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>).</w:t>
      </w:r>
    </w:p>
    <w:p>
      <w:pPr>
        <w:pStyle w:val="ListParagraph"/>
        <w:widowControl w:val="false"/>
        <w:numPr>
          <w:ilvl w:val="0"/>
          <w:numId w:val="0"/>
        </w:numPr>
        <w:ind w:firstLine="709" w:left="0"/>
        <w:jc w:val="both"/>
        <w:outlineLvl w:val="1"/>
        <w:rPr>
          <w:color w:val="000000"/>
        </w:rPr>
      </w:pP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 xml:space="preserve">В соответствии с нормативным актом представительного органа (решение Совета депутатов) по-прежнему не всеми поселениями </w:t>
      </w:r>
      <w:r>
        <w:rPr>
          <w:rFonts w:eastAsia="Times New Roman" w:ascii="Nimbus Roman" w:hAnsi="Nimbus Roman"/>
          <w:b/>
          <w:color w:val="000000"/>
          <w:sz w:val="26"/>
          <w:szCs w:val="26"/>
          <w:lang w:val="ru-RU"/>
        </w:rPr>
        <w:t xml:space="preserve">вносятся изменения по объему финансирования в паспорта муниципальных программ </w:t>
      </w:r>
      <w:r>
        <w:rPr>
          <w:rFonts w:eastAsia="Times New Roman" w:ascii="Nimbus Roman" w:hAnsi="Nimbus Roman"/>
          <w:color w:val="000000"/>
          <w:sz w:val="26"/>
          <w:szCs w:val="26"/>
          <w:lang w:val="ru-RU"/>
        </w:rPr>
        <w:t>(Бахтияровское с/п, Каршевитское с/п).</w:t>
      </w:r>
    </w:p>
    <w:p>
      <w:pPr>
        <w:pStyle w:val="ListParagraph"/>
        <w:ind w:firstLine="709"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В нарушение 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имеет место </w:t>
      </w:r>
      <w:r>
        <w:rPr>
          <w:rFonts w:ascii="Nimbus Roman" w:hAnsi="Nimbus Roman"/>
          <w:b/>
          <w:color w:val="000000"/>
          <w:sz w:val="26"/>
          <w:szCs w:val="26"/>
          <w:lang w:val="ru-RU"/>
        </w:rPr>
        <w:t>нарушение по заполнению отдельных форм годовой бухгалтерской отчетности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, не оказавших существенного влияния на достоверность данных бюджетной отчетности, </w:t>
      </w:r>
      <w:r>
        <w:rPr>
          <w:rFonts w:eastAsia="Lucida Sans Unicode" w:ascii="Nimbus Roman" w:hAnsi="Nimbus Roman"/>
          <w:color w:val="000000"/>
          <w:sz w:val="26"/>
          <w:szCs w:val="26"/>
          <w:lang w:val="ru-RU" w:eastAsia="ru-RU"/>
        </w:rPr>
        <w:t>но отрицательно отразившихся на её информативности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(</w:t>
      </w:r>
      <w:r>
        <w:rPr>
          <w:rFonts w:ascii="Nimbus Roman" w:hAnsi="Nimbus Roman"/>
          <w:b/>
          <w:bCs/>
          <w:color w:val="000000"/>
          <w:sz w:val="26"/>
          <w:szCs w:val="26"/>
          <w:lang w:val="ru-RU"/>
        </w:rPr>
        <w:t>все поселения)</w:t>
      </w:r>
      <w:r>
        <w:rPr>
          <w:rFonts w:ascii="Nimbus Roman" w:hAnsi="Nimbus Roman"/>
          <w:color w:val="000000"/>
          <w:sz w:val="26"/>
          <w:szCs w:val="26"/>
          <w:lang w:val="ru-RU"/>
        </w:rPr>
        <w:t>.</w:t>
      </w:r>
    </w:p>
    <w:p>
      <w:pPr>
        <w:pStyle w:val="ListParagraph"/>
        <w:ind w:firstLine="709" w:left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/>
        </w:rPr>
        <w:t xml:space="preserve">Имеют место нарушения трудового законодательства. Так, в нарушение </w:t>
      </w:r>
      <w:r>
        <w:rPr>
          <w:rFonts w:eastAsia="Times New Roman"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  <w:lang w:val="ru-RU"/>
        </w:rPr>
        <w:t xml:space="preserve">ст.134 Трудового кодекса РФ не производилась индексация должностных окладов </w:t>
      </w:r>
      <w:r>
        <w:rPr>
          <w:rFonts w:eastAsia="Times New Roman"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>работников замещающих должности, не отнесенные к должностям муниципальной службы,</w:t>
      </w: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 xml:space="preserve"> и работников, осуществляющих техническое обеспечение деятельности сельского  поселения (Каршевитское с/п). </w:t>
      </w:r>
    </w:p>
    <w:p>
      <w:pPr>
        <w:pStyle w:val="ListParagraph"/>
        <w:ind w:firstLine="709" w:left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 xml:space="preserve">В нарушение </w:t>
      </w: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4"/>
          <w:shd w:fill="FFFFFF" w:val="clear"/>
          <w:lang w:val="ru-RU" w:bidi="ru-RU"/>
        </w:rPr>
        <w:t xml:space="preserve">ст. 158 Бюджетного кодекса РФ и п.2 Приказа Минфина России №26н «Об Общих требованиях к порядку составления, утверждения и ведения бюджетных смет казенных учреждений» не всеми поселениями принят порядок составления, утверждения и ведения бюджетных смет подведомственных получателей бюджетных средств, являющихся казенными учреждениями или имеются замечания к утвержденным порядкам (Ильичевское с/п, </w:t>
      </w: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  <w:lang w:val="ru-RU" w:bidi="ru-RU"/>
        </w:rPr>
        <w:t>Каршевитское с/п, Колобовское с/п)</w:t>
      </w:r>
      <w:r>
        <w:rPr>
          <w:rFonts w:eastAsia="Times New Roman"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4"/>
          <w:shd w:fill="FFFFFF" w:val="clear"/>
          <w:lang w:val="ru-RU" w:bidi="ru-RU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 результатам внешних проверок составлено 13 заключений, </w:t>
      </w:r>
      <w:r>
        <w:rPr>
          <w:rFonts w:eastAsia="Times New Roman" w:cs="Times New Roman" w:ascii="Nimbus Roman" w:hAnsi="Nimbus Roman"/>
          <w:iCs/>
          <w:color w:val="000000"/>
          <w:sz w:val="26"/>
          <w:szCs w:val="26"/>
        </w:rPr>
        <w:t xml:space="preserve"> главам  сельских поселений выписаны  11  представлений. На все представления  в КСП Ленинского муниципального района поселениями представлены информации об устранении  нарушений.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iCs/>
          <w:color w:val="000000"/>
          <w:sz w:val="26"/>
          <w:szCs w:val="26"/>
        </w:rPr>
        <w:tab/>
        <w:t>В ходе в</w:t>
      </w:r>
      <w:r>
        <w:rPr>
          <w:rFonts w:eastAsia="Times New Roman" w:cs="Times New Roman" w:ascii="Nimbus Roman" w:hAnsi="Nimbus Roman"/>
          <w:iCs/>
          <w:color w:val="000000"/>
          <w:sz w:val="26"/>
          <w:szCs w:val="26"/>
          <w:u w:val="none"/>
        </w:rPr>
        <w:t xml:space="preserve">нешней проверки отчета об исполнении  бюджета Ленинского муниципального района и отдельных вопросов исполнения бюджета за 2024 год проведены внешние проверки 6 главных распорядителей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бюджетных средств района: администрации Ленинского муниципального района, Ленинской районной Думы,  Финансового отдела администрации Ленинского муниципального района,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КСП Ленинского муниципального района</w:t>
      </w:r>
      <w:r>
        <w:rPr>
          <w:rFonts w:cs="Times New Roman" w:ascii="Nimbus Roman" w:hAnsi="Nimbus Roman"/>
          <w:color w:val="000000"/>
          <w:sz w:val="26"/>
          <w:szCs w:val="26"/>
        </w:rPr>
        <w:t>, Отдела образования и Отдела по культуре, молодежной политике, физической культуре и спорту администрации Ленинского муниципального района. Внешние проверки осуществлялась в виде камеральных проверок.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Объем проверенных средств составил  825056,49 тыс. руб. По результату проверок установлены нарушения законодательства на сумму 95,72 тыс. руб., а именно </w:t>
      </w:r>
      <w:r>
        <w:rPr>
          <w:rFonts w:cs="Times New Roman" w:ascii="Nimbus Roman" w:hAnsi="Nimbus Roman"/>
          <w:color w:val="000000"/>
          <w:sz w:val="26"/>
          <w:szCs w:val="26"/>
          <w:lang w:eastAsia="ar-SA"/>
        </w:rPr>
        <w:t xml:space="preserve">нарушение ст. 34 Бюджетного кодекса РФ в части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оплаты пени за нарушение сроков оплаты налогов и платежей, а также оплаты административных штрафов.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Контрольно-счетной палатой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целях организации и осуществления контроля за законностью, результативностью (эффективностью и экономностью) использования средств бюджета Ленинского муниципального района, кроме внешних проверок бюджетной отчетности, в соответствии с планом работы на 2025 год были проведены следующие контрольные мероприятия:</w:t>
      </w:r>
    </w:p>
    <w:p>
      <w:pPr>
        <w:pStyle w:val="Normal"/>
        <w:spacing w:lineRule="auto" w:line="240" w:before="0" w:after="0"/>
        <w:jc w:val="both"/>
        <w:rPr>
          <w:rFonts w:ascii="Nimbus Roman" w:hAnsi="Nimbus Roman" w:eastAsia="Times New Roman" w:cs="Times New Roman"/>
          <w:sz w:val="26"/>
          <w:szCs w:val="26"/>
        </w:rPr>
      </w:pPr>
      <w:r>
        <w:rPr>
          <w:rFonts w:eastAsia="Times New Roman" w:cs="Times New Roman" w:ascii="Nimbus Roman" w:hAnsi="Nimbus Roman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ab/>
        <w:t>1. П</w:t>
      </w:r>
      <w:r>
        <w:rPr>
          <w:rFonts w:cs="Times New Roman" w:ascii="Nimbus Roman" w:hAnsi="Nimbus Roman"/>
          <w:b/>
          <w:color w:val="000000"/>
          <w:sz w:val="26"/>
          <w:szCs w:val="24"/>
        </w:rPr>
        <w:t xml:space="preserve">роверка </w:t>
      </w:r>
      <w:r>
        <w:rPr>
          <w:rFonts w:cs="Times New Roman" w:ascii="Nimbus Roman" w:hAnsi="Nimbus Roman"/>
          <w:b/>
          <w:color w:val="000000"/>
          <w:sz w:val="26"/>
          <w:szCs w:val="24"/>
          <w:lang w:bidi="ru-RU"/>
        </w:rPr>
        <w:t xml:space="preserve">соблюдения установленного порядка управления и эффективного использования имущества, находящегося в собственности Ленинского муниципального района Волгоградской области </w:t>
      </w:r>
      <w:r>
        <w:rPr>
          <w:rFonts w:cs="Times New Roman" w:ascii="Nimbus Roman" w:hAnsi="Nimbus Roman"/>
          <w:b/>
          <w:bCs/>
          <w:color w:val="000000"/>
          <w:sz w:val="26"/>
          <w:szCs w:val="24"/>
        </w:rPr>
        <w:t xml:space="preserve">за 2023 – 2024 годы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проводилась в Администрации Ленинского муниципального района. </w:t>
      </w:r>
    </w:p>
    <w:p>
      <w:pPr>
        <w:pStyle w:val="BodyTextIndent3"/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ab/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По результатам контрольного мероприятия установлены следующие нарушения: </w:t>
      </w:r>
    </w:p>
    <w:p>
      <w:pPr>
        <w:pStyle w:val="Consplusnormal1"/>
        <w:numPr>
          <w:ilvl w:val="0"/>
          <w:numId w:val="2"/>
        </w:numPr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color w:val="000000"/>
          <w:sz w:val="26"/>
          <w:szCs w:val="26"/>
        </w:rPr>
        <w:tab/>
        <w:t xml:space="preserve">1. </w:t>
      </w:r>
      <w:bookmarkStart w:id="0" w:name="_Hlk14182001_Копия_1_Копия_1"/>
      <w:r>
        <w:rPr>
          <w:rFonts w:eastAsia="Times New Roman" w:ascii="Nimbus Roman" w:hAnsi="Nimbus Roman"/>
          <w:color w:val="000000"/>
          <w:sz w:val="26"/>
          <w:szCs w:val="26"/>
        </w:rPr>
        <w:t xml:space="preserve">Выборочной проверкой при сопоставлении данных, указанных в Реестре муниципального имущества Ленинского муниципального района по состоянию на 31.12.2024г. с </w:t>
      </w:r>
      <w:bookmarkStart w:id="1" w:name="_Hlk14182040_Копия_1"/>
      <w:r>
        <w:rPr>
          <w:rFonts w:eastAsia="Times New Roman" w:ascii="Nimbus Roman" w:hAnsi="Nimbus Roman"/>
          <w:color w:val="000000"/>
          <w:sz w:val="26"/>
          <w:szCs w:val="26"/>
        </w:rPr>
        <w:t>в</w:t>
      </w:r>
      <w:r>
        <w:rPr>
          <w:rFonts w:ascii="Nimbus Roman" w:hAnsi="Nimbus Roman"/>
          <w:color w:val="000000"/>
          <w:sz w:val="26"/>
          <w:szCs w:val="26"/>
        </w:rPr>
        <w:t>ыпиской из Единого государственного реестра недвижимости о правах отдельного лица на имевшиеся (имеющиеся) у него объекты недвижимости</w:t>
      </w:r>
      <w:bookmarkEnd w:id="1"/>
      <w:r>
        <w:rPr>
          <w:rFonts w:eastAsia="Times New Roman" w:ascii="Nimbus Roman" w:hAnsi="Nimbus Roman"/>
          <w:color w:val="000000"/>
          <w:sz w:val="26"/>
          <w:szCs w:val="26"/>
        </w:rPr>
        <w:t>, представленной Филиалом публично-правовой компании «Роскадастр» по Волгоградской области, установлены расхождения кадастровых номеров и площади земельного участка</w:t>
      </w:r>
      <w:bookmarkEnd w:id="0"/>
      <w:r>
        <w:rPr>
          <w:rFonts w:eastAsia="Times New Roman" w:ascii="Nimbus Roman" w:hAnsi="Nimbus Roman"/>
          <w:color w:val="000000"/>
          <w:sz w:val="26"/>
          <w:szCs w:val="26"/>
        </w:rPr>
        <w:t xml:space="preserve"> по 3 объектам муниципального имущества.</w:t>
      </w:r>
    </w:p>
    <w:p>
      <w:pPr>
        <w:pStyle w:val="Consplusnormal1"/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ab/>
        <w:t xml:space="preserve">2. </w:t>
      </w:r>
      <w:r>
        <w:rPr>
          <w:rFonts w:ascii="Nimbus Roman" w:hAnsi="Nimbus Roman"/>
          <w:color w:val="000000"/>
          <w:spacing w:val="-5"/>
          <w:sz w:val="26"/>
          <w:szCs w:val="26"/>
          <w:highlight w:val="white"/>
        </w:rPr>
        <w:t xml:space="preserve">В нарушение п.1.4. </w:t>
      </w:r>
      <w:r>
        <w:rPr>
          <w:rFonts w:ascii="Nimbus Roman" w:hAnsi="Nimbus Roman"/>
          <w:color w:val="000000"/>
          <w:spacing w:val="-6"/>
          <w:sz w:val="26"/>
          <w:szCs w:val="26"/>
          <w:highlight w:val="white"/>
        </w:rPr>
        <w:t>Положения о приватизации имущества, находящегося в муниципальной собственности Ленинского муниципального района Волгоградской области, утвержденного решением Ленинской районной Думы Волгоградской области от 30.03.2023г. №5/13  Администрацией Ленинского муниципального района не установлен порядок отбора юридических лиц для организации от имени Ленинского муниципального района Волгоградской области продажи приватизируемой муниципальной собственности и (или) осуществления функций продавца.</w:t>
      </w:r>
    </w:p>
    <w:p>
      <w:pPr>
        <w:pStyle w:val="Consplusnormal1"/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pacing w:val="-6"/>
          <w:sz w:val="26"/>
          <w:szCs w:val="26"/>
        </w:rPr>
        <w:tab/>
        <w:t>3. В нарушение п. 2.1. Положения о приватизации имущества и п. 5.11. Положения о бюджетном процессе</w:t>
      </w:r>
      <w:r>
        <w:rPr>
          <w:rFonts w:ascii="Nimbus Roman" w:hAnsi="Nimbus Roman"/>
          <w:color w:val="000000"/>
          <w:spacing w:val="-6"/>
          <w:sz w:val="26"/>
          <w:szCs w:val="26"/>
          <w:shd w:fill="FFFFFF" w:val="clear"/>
        </w:rPr>
        <w:t xml:space="preserve"> в Ленинском муниципальном районе Волгоградской области, утвержденного решением Ленинской районной Думы Волгоградской области от 16 июня 2023 г. № 8/31 решением </w:t>
      </w:r>
      <w:r>
        <w:rPr>
          <w:rFonts w:ascii="Nimbus Roman" w:hAnsi="Nimbus Roman"/>
          <w:color w:val="000000"/>
          <w:spacing w:val="-6"/>
          <w:sz w:val="26"/>
          <w:szCs w:val="26"/>
          <w:highlight w:val="white"/>
          <w:shd w:fill="FFFFFF" w:val="clear"/>
        </w:rPr>
        <w:t xml:space="preserve">Ленинской районной Думы Волгоградской области от 13.12.2022г. №22/68 «О бюджете Ленинского муниципального района на 2023 год и на плановый период 2024 и 2025 годов» </w:t>
      </w:r>
      <w:r>
        <w:rPr>
          <w:rFonts w:ascii="Nimbus Roman" w:hAnsi="Nimbus Roman"/>
          <w:color w:val="000000"/>
          <w:spacing w:val="-6"/>
          <w:sz w:val="26"/>
          <w:szCs w:val="26"/>
          <w:shd w:fill="FFFFFF" w:val="clear"/>
        </w:rPr>
        <w:t xml:space="preserve"> утвержден </w:t>
      </w:r>
      <w:r>
        <w:rPr>
          <w:rFonts w:ascii="Nimbus Roman" w:hAnsi="Nimbus Roman"/>
          <w:color w:val="000000"/>
          <w:spacing w:val="-6"/>
          <w:sz w:val="26"/>
          <w:szCs w:val="26"/>
          <w:highlight w:val="white"/>
          <w:shd w:fill="FFFFFF" w:val="clear"/>
        </w:rPr>
        <w:t xml:space="preserve">Перечень имущества, подлежащего приватизации в 2023 году, тогда как утверждению подлежит </w:t>
      </w:r>
      <w:r>
        <w:rPr>
          <w:rFonts w:ascii="Nimbus Roman" w:hAnsi="Nimbus Roman"/>
          <w:color w:val="000000"/>
          <w:spacing w:val="-6"/>
          <w:sz w:val="26"/>
          <w:szCs w:val="26"/>
          <w:shd w:fill="FFFFFF" w:val="clear"/>
        </w:rPr>
        <w:t>прогнозный план (программа) приватизации муниципального имущества.</w:t>
      </w:r>
    </w:p>
    <w:p>
      <w:pPr>
        <w:pStyle w:val="Consplusnormal1"/>
        <w:spacing w:lineRule="auto" w:line="240" w:before="0" w:after="0"/>
        <w:ind w:hanging="0" w:left="0"/>
        <w:contextualSpacing/>
        <w:jc w:val="both"/>
        <w:rPr>
          <w:color w:val="000000"/>
        </w:rPr>
      </w:pPr>
      <w:r>
        <w:rPr>
          <w:rFonts w:ascii="Nimbus Roman" w:hAnsi="Nimbus Roman"/>
          <w:color w:val="000000"/>
          <w:spacing w:val="-6"/>
          <w:sz w:val="26"/>
          <w:szCs w:val="26"/>
          <w:shd w:fill="FFFFFF" w:val="clear"/>
        </w:rPr>
        <w:tab/>
        <w:t>4</w:t>
      </w:r>
      <w:r>
        <w:rPr>
          <w:rFonts w:cs="Times New Roman"/>
          <w:i w:val="false"/>
          <w:iCs w:val="false"/>
          <w:color w:val="000000"/>
          <w:sz w:val="26"/>
          <w:szCs w:val="26"/>
        </w:rPr>
        <w:t>. Выборочной проверкой соответствия балансовой стоимости муниципального имущества по Реестру с данными бухгалтерского учета (оборотной ведомости) в 2024 году установлено расхождение балансовой стоимости по счету 1 108 51 «Недвижимое имущество, составляющее казну» по отдельным объектам недвижимого имущества на сумму 1102,84 тыс.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i w:val="false"/>
          <w:iCs w:val="false"/>
          <w:color w:val="000000"/>
          <w:spacing w:val="-6"/>
          <w:sz w:val="26"/>
          <w:szCs w:val="26"/>
          <w:shd w:fill="FFFFFF" w:val="clear"/>
        </w:rPr>
        <w:t xml:space="preserve">5. </w:t>
      </w:r>
      <w:r>
        <w:rPr>
          <w:rFonts w:ascii="Nimbus Roman" w:hAnsi="Nimbus Roman"/>
          <w:color w:val="000000"/>
          <w:sz w:val="26"/>
          <w:szCs w:val="26"/>
        </w:rPr>
        <w:t>Сверкой балансовой стоимости имущества переданного в безвозмездное пользование, отраженной в оборотных ведомостях, с реестром муниципального имущества установлены расхождения на общую сумму 5711,89 тыс. руб. (в ходе проверки устранено).</w:t>
      </w:r>
    </w:p>
    <w:p>
      <w:pPr>
        <w:pStyle w:val="Normal"/>
        <w:spacing w:lineRule="auto" w:line="240" w:before="0" w:after="0"/>
        <w:ind w:hanging="0" w:right="0"/>
        <w:jc w:val="both"/>
        <w:rPr>
          <w:color w:val="000000"/>
        </w:rPr>
      </w:pPr>
      <w:r>
        <w:rPr>
          <w:rFonts w:ascii="Nimbus Roman" w:hAnsi="Nimbus Roman"/>
          <w:i/>
          <w:iCs w:val="false"/>
          <w:color w:val="000000"/>
          <w:spacing w:val="-5"/>
          <w:sz w:val="24"/>
          <w:szCs w:val="24"/>
          <w:shd w:fill="FFFFFF" w:val="clear"/>
        </w:rPr>
        <w:tab/>
      </w:r>
      <w:r>
        <w:rPr>
          <w:rFonts w:ascii="Nimbus Roman" w:hAnsi="Nimbus Roman"/>
          <w:i w:val="false"/>
          <w:iCs w:val="false"/>
          <w:color w:val="000000"/>
          <w:spacing w:val="-5"/>
          <w:sz w:val="26"/>
          <w:szCs w:val="26"/>
          <w:shd w:fill="FFFFFF" w:val="clear"/>
        </w:rPr>
        <w:t>6. В</w:t>
      </w:r>
      <w:r>
        <w:rPr>
          <w:rFonts w:eastAsia="" w:cs="Times New Roman" w:ascii="Nimbus Roman" w:hAnsi="Nimbus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6"/>
          <w:sz w:val="26"/>
          <w:szCs w:val="26"/>
          <w:u w:val="none"/>
          <w:shd w:fill="FFFFFF" w:val="clear"/>
          <w:em w:val="none"/>
        </w:rPr>
        <w:t xml:space="preserve"> оборотной ведомости по нефинансовым активам счета 26 «Имущество, переданное в безвозмездное пользование» не отражена балансовая стоимость имущества, переданная в безвозмездное пользование Территориальной избирательной комиссии Ленинского района по договору б/н от 09.11.2009г. (по результату проверки кабинет ТИК  принят к учету на счет 26 с балансовой стоимостью 161,86 тыс. руб.).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" w:cs="Times New Roman" w:ascii="Nimbus Roman" w:hAnsi="Nimbus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sz w:val="26"/>
          <w:szCs w:val="26"/>
          <w:u w:val="none"/>
          <w:shd w:fill="FFFFFF" w:val="clear"/>
          <w:em w:val="none"/>
        </w:rPr>
        <w:tab/>
        <w:t>По результату проверки выписано представление по устранению допущенных нарушений и согласно представленной информации все нарушения устранены.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ab/>
        <w:t>2. Проверка</w:t>
      </w:r>
      <w:r>
        <w:rPr>
          <w:rFonts w:eastAsia="Times New Roman" w:cs="Nimbus Roman" w:ascii="Nimbus Roman" w:hAnsi="Nimbus Roman"/>
          <w:b/>
          <w:bCs/>
          <w:color w:val="000000"/>
          <w:sz w:val="26"/>
          <w:szCs w:val="26"/>
        </w:rPr>
        <w:t xml:space="preserve"> обоснованности и результативности использования бюджетных средств в 2024 году, направленных на реализацию  муниципальной программы «Капитальное строительство и развитие социальной сферы Ленинского муниципального района».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ab/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Проверка проводилась </w:t>
      </w:r>
      <w:r>
        <w:rPr>
          <w:rFonts w:eastAsia="Times New Roman" w:cs="Nimbus Roman" w:ascii="Nimbus Roman" w:hAnsi="Nimbus Roman"/>
          <w:b w:val="false"/>
          <w:bCs w:val="false"/>
          <w:color w:val="000000"/>
          <w:sz w:val="26"/>
          <w:szCs w:val="26"/>
        </w:rPr>
        <w:t xml:space="preserve">в Администрации Ленинского муниципального района Волгоградской области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  <w:shd w:fill="FFFFFF" w:val="clear"/>
        </w:rPr>
        <w:t>(ответственный исполнитель).</w:t>
      </w:r>
      <w:r>
        <w:rPr>
          <w:rFonts w:eastAsia="Times New Roman" w:cs="Nimbus Roman" w:ascii="Nimbus Roman" w:hAnsi="Nimbus Roman"/>
          <w:b w:val="false"/>
          <w:bCs w:val="false"/>
          <w:color w:val="000000"/>
          <w:sz w:val="26"/>
          <w:szCs w:val="26"/>
        </w:rPr>
        <w:t xml:space="preserve"> В</w:t>
      </w:r>
      <w:r>
        <w:rPr>
          <w:rFonts w:eastAsia="Times New Roman" w:cs="Nimbus Roman" w:ascii="Nimbus Roman" w:hAnsi="Nimbus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 xml:space="preserve">стречные проверки проведены в Администрациях Ильичевского и Степновского сельских поселений, а также в учреждениях образования: МКОУ «Ленинская СОШ №1»,  МКОУ «Ленинская СОШ №3», МКОУ «Царевская СОШ», МКОУ «Рассветинская СОШ», МКОУ ««Маякоктябрьская СОШ», МКОУ «Степновская СОШ», МКОУ «Маляевская ООШ».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Nimbus Roman" w:ascii="Nimbus Roman" w:hAnsi="Nimbus Roman"/>
          <w:b w:val="false"/>
          <w:bC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ru-RU" w:eastAsia="ru-RU"/>
        </w:rPr>
        <w:tab/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ru-RU" w:eastAsia="ru-RU"/>
        </w:rPr>
        <w:t>В ходе п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>роверки  установлено, что при  запланированном объеме финансирования 14229,11 тыс.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ru-RU" w:eastAsia="ru-RU"/>
        </w:rPr>
        <w:t xml:space="preserve">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>руб. кассовый расход на реализацию мероприятий программы составил 13993,13 тыс. руб. или 98,34% от  утвержденного плана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ru-RU" w:eastAsia="ru-RU"/>
        </w:rPr>
        <w:t xml:space="preserve">. </w:t>
      </w:r>
      <w:r>
        <w:rPr>
          <w:rFonts w:eastAsia="Times New Roman" w:cs="Nimbus Roman" w:ascii="Nimbus Roman" w:hAnsi="Nimbus Roman"/>
          <w:b w:val="false"/>
          <w:bCs w:val="false"/>
          <w:color w:val="000000"/>
          <w:spacing w:val="4"/>
          <w:kern w:val="0"/>
          <w:sz w:val="26"/>
          <w:szCs w:val="26"/>
          <w:u w:val="none"/>
          <w:shd w:fill="FFFFFF" w:val="clear"/>
          <w:lang w:val="ru-RU" w:eastAsia="ru-RU"/>
        </w:rPr>
        <w:t>В соответствии со ст.34 Бюджетного кодекса РФ план реализации мероприятий по муниципальной программе выполнен практически в полном объеме на запланированные мероприятия, что показывает обоснованность и результативность использования бюджетных средств. Нецелевого и неэффективного использования бюджетных средств не установлено.</w:t>
      </w:r>
    </w:p>
    <w:p>
      <w:pPr>
        <w:pStyle w:val="Standard1"/>
        <w:ind w:firstLine="708" w:right="0"/>
        <w:jc w:val="both"/>
        <w:rPr>
          <w:color w:val="000000"/>
        </w:rPr>
      </w:pPr>
      <w:r>
        <w:rPr>
          <w:rFonts w:eastAsia="Times New Roman" w:cs="Nimbus Roman" w:ascii="Nimbus Roman" w:hAnsi="Nimbus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 xml:space="preserve">В ходе встречных проверок установлено нарушение сроков выполнения работ подрядчиками и отдельными учреждениями образования не были выставлены требования (претензии) об уплате неустойки (пени), в связи с просрочкой исполнения обязательств, предусмотренных контрактами. В ходе проверки произведен расчет неустойки (пени), в связи с просрочкой исполнения обязательств, предусмотренных контрактами по текущему ремонту кабинетов в МКОУ «Маляевская ООШ» на 32 календарных дня на сумму 13,74 тыс. руб. и в МКОУ «Маякоктябрьская СОШ» на 35 календарных дня на 18,82 тыс. руб. и выписаны представления учреждениям образования. Согласно представленных информаций погашена неустойка подрядчиком МКОУ «Маякоктябрьская СОШ» на 18,82 тыс. руб. </w:t>
      </w:r>
    </w:p>
    <w:p>
      <w:pPr>
        <w:pStyle w:val="Standard1"/>
        <w:ind w:firstLine="708" w:right="0"/>
        <w:jc w:val="both"/>
        <w:rPr>
          <w:color w:val="000000"/>
        </w:rPr>
      </w:pPr>
      <w:r>
        <w:rPr>
          <w:rFonts w:eastAsia="Times New Roman" w:cs="Nimbus Roman" w:ascii="Nimbus Roman" w:hAnsi="Nimbus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 xml:space="preserve">Кроме того, не приняты к бухгалтерскому учету приобретенные материальные ценности, в рамках заключенных контрактов, в ходе проверки материальные ценности оприходованы по бухгалтерским справкам в МКОУ «Царевская СОШ» на 158,25 тыс. руб., в МКОУ «Маляевская ООШ» на 61,66 тыс. руб. В ходе проверки материальные ценности на общую сумму 219,91 тыс. руб. приняты к бухгалтерскому учету.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Nimbus Roman" w:ascii="Nimbus Roman" w:hAnsi="Nimbus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ab/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shd w:fill="FFFFFF" w:val="clear"/>
        </w:rPr>
        <w:t>3.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 xml:space="preserve">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shd w:fill="FFFFFF" w:val="clear"/>
        </w:rPr>
        <w:t xml:space="preserve">Проверка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shd w:fill="FFFFFF" w:val="clear"/>
        </w:rPr>
        <w:t xml:space="preserve">обоснованности и результативности использования бюджетных средств в 2024 году, направленных на реализацию  муниципальной программы «Духовно-нравственное воспитание в Ленинском муниципальном районе».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6"/>
          <w:szCs w:val="26"/>
          <w:shd w:fill="FFFFFF" w:val="clear"/>
        </w:rPr>
        <w:t xml:space="preserve">Проверка проводилась в Отделе по культуре, молодежной политике, физической культуре и спорту администрации Ленинского муниципального района Волгоградской области (ответственный исполнитель).  </w:t>
      </w:r>
      <w:r>
        <w:rPr>
          <w:rFonts w:eastAsia="Times New Roman" w:cs="Nimbus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>В</w:t>
      </w:r>
      <w:r>
        <w:rPr>
          <w:rFonts w:eastAsia="Times New Roman" w:cs="Nimbus Roman" w:ascii="Nimbus Roman" w:hAnsi="Nimbus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>стречные проверки проведены в  МКУК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6"/>
          <w:szCs w:val="26"/>
          <w:u w:val="none"/>
          <w:shd w:fill="FFFFFF" w:val="clear"/>
          <w:lang w:val="ru-RU" w:eastAsia="ru-RU"/>
        </w:rPr>
        <w:t xml:space="preserve"> «Ленинская межпоселенческая центральная районная библиотека» и в МКУК 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kern w:val="0"/>
          <w:sz w:val="25"/>
          <w:szCs w:val="25"/>
          <w:u w:val="none"/>
          <w:shd w:fill="FFFFFF" w:val="clear"/>
          <w:lang w:val="ru-RU" w:eastAsia="ru-RU" w:bidi="ru-RU"/>
        </w:rPr>
        <w:t>«Ленинский районный музей».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ab/>
        <w:t xml:space="preserve"> </w:t>
      </w:r>
      <w:r>
        <w:rPr>
          <w:rFonts w:eastAsia="Times New Roman" w:cs="Times New Roman" w:ascii="Nimbus Roman" w:hAnsi="Nimbus Roman"/>
          <w:color w:val="000000"/>
          <w:spacing w:val="-4"/>
          <w:sz w:val="26"/>
          <w:szCs w:val="26"/>
        </w:rPr>
        <w:t>В ходе п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роверки  установлено: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ab/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1. При  запланированном объеме финансирования 6083,88 тыс.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-4"/>
          <w:sz w:val="26"/>
          <w:szCs w:val="26"/>
        </w:rPr>
        <w:t xml:space="preserve">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руб. кассовый расход на реализацию мероприятий программы составил 6058,08 тыс. руб. или 99,57% от  утвержденного плана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-4"/>
          <w:sz w:val="26"/>
          <w:szCs w:val="26"/>
        </w:rPr>
        <w:t xml:space="preserve">. </w:t>
      </w:r>
      <w:r>
        <w:rPr>
          <w:rFonts w:ascii="Nimbus Roman" w:hAnsi="Nimbus Roman"/>
          <w:b w:val="false"/>
          <w:bCs w:val="false"/>
          <w:color w:val="000000"/>
          <w:spacing w:val="4"/>
          <w:sz w:val="26"/>
          <w:szCs w:val="26"/>
        </w:rPr>
        <w:t>В соответствии со ст.34 Бюджетного кодекса РФ план реализации мероприятий по муниципальной программе выполнен практически в полном объеме на запланированные мероприятия, что показывает обоснованность и результативность использования бюджетных средств. Нецелевого и неэффективного использования бюджетных средств не установлено.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kern w:val="0"/>
          <w:sz w:val="26"/>
          <w:szCs w:val="26"/>
          <w:lang w:eastAsia="ru-RU"/>
        </w:rPr>
        <w:t>2. Ответственным исполнителем не отражен в паспорте Программы объем финансирования за счет средств областного бюджета в размере 435,50 тыс. руб., предоставленный в виде субвенции на предоставление мер социальной поддержки по оплате жилого помещения и коммунальных услуг специалистам учреждений культуры (библиотек, музеев, учреждений клубного типа) и учреждений кинематографии, работающим и проживающим в сельской местности, рабочих поселках (поселках городского типа) на территории Волгоградской области).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kern w:val="0"/>
          <w:sz w:val="26"/>
          <w:szCs w:val="26"/>
          <w:lang w:eastAsia="ru-RU"/>
        </w:rPr>
      </w:pPr>
      <w:r>
        <w:rPr>
          <w:rFonts w:cs="Times New Roman" w:ascii="Nimbus Roman" w:hAnsi="Nimbus Roman"/>
          <w:color w:val="000000"/>
          <w:kern w:val="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kern w:val="0"/>
          <w:sz w:val="26"/>
          <w:szCs w:val="26"/>
          <w:lang w:eastAsia="ru-RU"/>
        </w:rPr>
      </w:pPr>
      <w:r>
        <w:rPr>
          <w:rFonts w:cs="Times New Roman" w:ascii="Nimbus Roman" w:hAnsi="Nimbus Roman"/>
          <w:color w:val="000000"/>
          <w:kern w:val="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 w:cs="Times New Roman"/>
          <w:color w:val="000000"/>
          <w:kern w:val="0"/>
          <w:sz w:val="26"/>
          <w:szCs w:val="26"/>
          <w:lang w:eastAsia="ru-RU"/>
        </w:rPr>
      </w:pPr>
      <w:r>
        <w:rPr>
          <w:rFonts w:cs="Times New Roman" w:ascii="Nimbus Roman" w:hAnsi="Nimbus Roman"/>
          <w:color w:val="000000"/>
          <w:kern w:val="0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Nimbus Roman" w:hAnsi="Nimbus Roman"/>
          <w:color w:val="000000"/>
          <w:kern w:val="0"/>
          <w:sz w:val="26"/>
          <w:szCs w:val="26"/>
          <w:lang w:eastAsia="ru-RU"/>
        </w:rPr>
        <w:t xml:space="preserve">Данная субвенция с областного бюджета проходит в рамках Программы по мероприятию «Содержание учреждений культуры»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 Отделу культуры, тогда как  </w:t>
      </w:r>
      <w:r>
        <w:rPr>
          <w:rFonts w:eastAsia="Times New Roman" w:cs="Times New Roman" w:ascii="Nimbus Roman" w:hAnsi="Nimbus Roman"/>
          <w:color w:val="000000"/>
          <w:spacing w:val="4"/>
          <w:kern w:val="0"/>
          <w:sz w:val="26"/>
          <w:szCs w:val="26"/>
          <w:lang w:eastAsia="ru-RU"/>
        </w:rPr>
        <w:t xml:space="preserve"> </w:t>
      </w:r>
      <w:r>
        <w:rPr>
          <w:rStyle w:val="10"/>
          <w:rFonts w:eastAsia="Times New Roman" w:cs="Times New Roman" w:ascii="Nimbus Roman" w:hAnsi="Nimbus Roman"/>
          <w:b w:val="false"/>
          <w:bCs w:val="false"/>
          <w:color w:val="000000"/>
          <w:kern w:val="0"/>
          <w:sz w:val="26"/>
          <w:szCs w:val="26"/>
          <w:lang w:eastAsia="ru-RU"/>
        </w:rPr>
        <w:t xml:space="preserve">субвенция с областного бюджета   на  предоставление мер социальной поддержки, является социальной выплатой и никак не может относиться к содержанию учреждений культуры, поэтому </w:t>
      </w:r>
      <w:r>
        <w:rPr>
          <w:rFonts w:eastAsia="Times New Roman" w:cs="Times New Roman" w:ascii="Nimbus Roman" w:hAnsi="Nimbus Roman"/>
          <w:color w:val="000000"/>
          <w:spacing w:val="4"/>
          <w:kern w:val="0"/>
          <w:sz w:val="26"/>
          <w:szCs w:val="26"/>
          <w:lang w:eastAsia="ru-RU"/>
        </w:rPr>
        <w:t xml:space="preserve">в форме 2 Программы </w:t>
      </w:r>
      <w:r>
        <w:rPr>
          <w:rStyle w:val="10"/>
          <w:rFonts w:eastAsia="Times New Roman" w:cs="Times New Roman" w:ascii="Nimbus Roman" w:hAnsi="Nimbus Roman"/>
          <w:b w:val="false"/>
          <w:bCs w:val="false"/>
          <w:color w:val="000000"/>
          <w:kern w:val="0"/>
          <w:sz w:val="26"/>
          <w:szCs w:val="26"/>
          <w:lang w:eastAsia="ru-RU"/>
        </w:rPr>
        <w:t>«Перечень мероприятий муниципальной программы» данную субвенцию следует отразить отдельным мероприятием.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pacing w:val="4"/>
          <w:sz w:val="26"/>
          <w:szCs w:val="26"/>
        </w:rPr>
        <w:tab/>
      </w:r>
      <w:r>
        <w:rPr>
          <w:rFonts w:eastAsia="Times New Roman" w:cs="Nimbus Roman" w:ascii="Nimbus Roman" w:hAnsi="Nimbus Roman"/>
          <w:b w:val="false"/>
          <w:bCs w:val="false"/>
          <w:color w:val="000000"/>
          <w:spacing w:val="4"/>
          <w:kern w:val="0"/>
          <w:sz w:val="26"/>
          <w:szCs w:val="26"/>
          <w:u w:val="none"/>
          <w:shd w:fill="FFFFFF" w:val="clear"/>
          <w:lang w:val="ru-RU" w:eastAsia="ru-RU"/>
        </w:rPr>
        <w:t>В ходе встречных проверок в  МКУК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4"/>
          <w:kern w:val="0"/>
          <w:sz w:val="26"/>
          <w:szCs w:val="26"/>
          <w:u w:val="none"/>
          <w:shd w:fill="FFFFFF" w:val="clear"/>
          <w:lang w:val="ru-RU" w:eastAsia="ru-RU"/>
        </w:rPr>
        <w:t xml:space="preserve"> «Ленинская межпоселенческая центральная районная библиотека» и в МКУК 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pacing w:val="4"/>
          <w:kern w:val="0"/>
          <w:sz w:val="26"/>
          <w:szCs w:val="26"/>
          <w:u w:val="none"/>
          <w:shd w:fill="FFFFFF" w:val="clear"/>
          <w:lang w:val="ru-RU" w:eastAsia="ru-RU" w:bidi="ru-RU"/>
        </w:rPr>
        <w:t>«Ленинский районный музей» у</w:t>
      </w:r>
      <w:r>
        <w:rPr>
          <w:rFonts w:eastAsia="Times New Roman" w:cs="Nimbus Roman" w:ascii="Nimbus Roman" w:hAnsi="Nimbus Roman"/>
          <w:b w:val="false"/>
          <w:bCs w:val="false"/>
          <w:color w:val="000000"/>
          <w:spacing w:val="4"/>
          <w:kern w:val="0"/>
          <w:sz w:val="26"/>
          <w:szCs w:val="26"/>
          <w:u w:val="none"/>
          <w:shd w:fill="FFFFFF" w:val="clear"/>
          <w:lang w:val="ru-RU" w:eastAsia="ru-RU"/>
        </w:rPr>
        <w:t>становлены практически идентичные нарушения: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Times New Roman" w:cs="Nimbus Roman" w:ascii="Nimbus Roman" w:hAnsi="Nimbus Roman"/>
          <w:b w:val="false"/>
          <w:bCs w:val="false"/>
          <w:color w:val="000000"/>
          <w:spacing w:val="4"/>
          <w:kern w:val="0"/>
          <w:sz w:val="26"/>
          <w:szCs w:val="26"/>
          <w:u w:val="none"/>
          <w:shd w:fill="FFFFFF" w:val="clear"/>
          <w:lang w:val="ru-RU" w:eastAsia="ru-RU"/>
        </w:rPr>
        <w:tab/>
        <w:t xml:space="preserve">1. В Уставах учреждений  </w:t>
      </w:r>
      <w:r>
        <w:rPr>
          <w:rFonts w:ascii="Nimbus Roman" w:hAnsi="Nimbus Roman"/>
          <w:bCs/>
          <w:color w:val="000000"/>
          <w:spacing w:val="1"/>
          <w:w w:val="101"/>
          <w:sz w:val="26"/>
          <w:szCs w:val="26"/>
        </w:rPr>
        <w:t xml:space="preserve">звучит, что Учреждение находится в ведении и подконтрольно Отделу по социальной политике администрации Ленинского муниципального района, который </w:t>
      </w:r>
      <w:r>
        <w:rPr>
          <w:rFonts w:ascii="Nimbus Roman" w:hAnsi="Nimbus Roman"/>
          <w:color w:val="000000"/>
          <w:sz w:val="26"/>
          <w:szCs w:val="26"/>
        </w:rPr>
        <w:t>в отношении Учреждений осуществляет бюджетные полномочия главного распорядителя бюджетных средств</w:t>
      </w:r>
      <w:r>
        <w:rPr>
          <w:rFonts w:ascii="Nimbus Roman" w:hAnsi="Nimbus Roman"/>
          <w:bCs/>
          <w:color w:val="000000"/>
          <w:spacing w:val="1"/>
          <w:w w:val="101"/>
          <w:sz w:val="26"/>
          <w:szCs w:val="26"/>
        </w:rPr>
        <w:t>, тогда как  на основании решения Ленинской районной Думы Волгоградской области от 29.12.2021г. №23/72 О</w:t>
      </w:r>
      <w:r>
        <w:rPr>
          <w:rFonts w:ascii="Nimbus Roman" w:hAnsi="Nimbus Roman"/>
          <w:color w:val="000000"/>
          <w:sz w:val="26"/>
          <w:szCs w:val="26"/>
        </w:rPr>
        <w:t>тдел по социальной политике администрации Ленинского муниципального района переименован в Отдел по культуре, молодежной политике, физической культуре и спорту администрации Ленинского муниципального района Волгоградской области.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ab/>
        <w:t xml:space="preserve">2. </w:t>
      </w:r>
      <w:r>
        <w:rPr>
          <w:rFonts w:ascii="Nimbus Roman" w:hAnsi="Nimbus Roman"/>
          <w:i w:val="false"/>
          <w:iCs w:val="false"/>
          <w:color w:val="000000"/>
          <w:spacing w:val="4"/>
          <w:sz w:val="26"/>
          <w:szCs w:val="26"/>
        </w:rPr>
        <w:t xml:space="preserve">В Положениях об оплате труда работников учреждений </w:t>
      </w:r>
      <w:r>
        <w:rPr>
          <w:rFonts w:cs="Times New Roman" w:ascii="Nimbus Roman" w:hAnsi="Nimbus Roman"/>
          <w:i w:val="false"/>
          <w:iCs w:val="false"/>
          <w:color w:val="000000"/>
          <w:spacing w:val="6"/>
          <w:sz w:val="26"/>
          <w:szCs w:val="26"/>
        </w:rPr>
        <w:t xml:space="preserve">звучит, что </w:t>
      </w:r>
      <w:r>
        <w:rPr>
          <w:rFonts w:cs="Times New Roman" w:ascii="Nimbus Roman" w:hAnsi="Nimbus Roman"/>
          <w:i w:val="false"/>
          <w:iCs w:val="false"/>
          <w:color w:val="000000"/>
          <w:spacing w:val="-2"/>
          <w:sz w:val="26"/>
          <w:szCs w:val="26"/>
        </w:rPr>
        <w:t xml:space="preserve">«фонд оплаты труда работников учреждений формируется на календарный год за счет средств субсидии на выполнение муниципального задания» и </w:t>
      </w:r>
      <w:r>
        <w:rPr>
          <w:rFonts w:cs="Times New Roman" w:ascii="Nimbus Roman" w:hAnsi="Nimbus Roman"/>
          <w:i w:val="false"/>
          <w:iCs w:val="false"/>
          <w:color w:val="000000"/>
          <w:spacing w:val="6"/>
          <w:sz w:val="26"/>
          <w:szCs w:val="26"/>
        </w:rPr>
        <w:t xml:space="preserve">«выплаты стимулирующего характера могут производиться за счет средств от сложившейся экономии фонда оплаты труда при условии 100% выполнения муниципального задания», тогда как </w:t>
      </w:r>
      <w:r>
        <w:rPr>
          <w:rFonts w:cs="Times New Roman" w:ascii="Nimbus Roman" w:hAnsi="Nimbus Roman"/>
          <w:i w:val="false"/>
          <w:iCs w:val="false"/>
          <w:color w:val="000000"/>
          <w:spacing w:val="-2"/>
          <w:sz w:val="26"/>
          <w:szCs w:val="26"/>
        </w:rPr>
        <w:t>в соответствии с Уставами учреждений ф</w:t>
      </w:r>
      <w:r>
        <w:rPr>
          <w:rFonts w:cs="Times New Roman" w:ascii="Nimbus Roman" w:hAnsi="Nimbus Roman"/>
          <w:i w:val="false"/>
          <w:iCs w:val="false"/>
          <w:color w:val="000000"/>
          <w:spacing w:val="6"/>
          <w:sz w:val="26"/>
          <w:szCs w:val="26"/>
        </w:rPr>
        <w:t xml:space="preserve">инансовое обеспечение деятельности учреждений, включая денежное содержание работников учреждений, осуществляется за счет средств бюджета Ленинского муниципального района на 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pacing w:val="6"/>
          <w:sz w:val="26"/>
          <w:szCs w:val="26"/>
        </w:rPr>
        <w:t>основании бюджетной сметы, и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pacing w:val="6"/>
          <w:sz w:val="26"/>
          <w:szCs w:val="26"/>
        </w:rPr>
        <w:t xml:space="preserve"> </w:t>
      </w:r>
      <w:r>
        <w:rPr>
          <w:rFonts w:cs="Times New Roman" w:ascii="Nimbus Roman" w:hAnsi="Nimbus Roman"/>
          <w:i w:val="false"/>
          <w:iCs w:val="false"/>
          <w:color w:val="000000"/>
          <w:spacing w:val="6"/>
          <w:sz w:val="26"/>
          <w:szCs w:val="26"/>
        </w:rPr>
        <w:t>следовательно муниципальное задание до учреждений не доводится.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Nimbus Roman" w:hAnsi="Nimbus Roman"/>
          <w:i w:val="false"/>
          <w:iCs w:val="false"/>
          <w:color w:val="000000"/>
          <w:spacing w:val="6"/>
          <w:sz w:val="26"/>
          <w:szCs w:val="26"/>
        </w:rPr>
        <w:t xml:space="preserve">3. Кроме того, в </w:t>
      </w:r>
      <w:r>
        <w:rPr>
          <w:rFonts w:cs="Times New Roman" w:ascii="Nimbus Roman" w:hAnsi="Nimbus Roman"/>
          <w:i w:val="false"/>
          <w:iCs w:val="false"/>
          <w:color w:val="000000"/>
          <w:spacing w:val="-2"/>
          <w:sz w:val="26"/>
          <w:szCs w:val="26"/>
        </w:rPr>
        <w:t xml:space="preserve">Положениях </w:t>
      </w:r>
      <w:r>
        <w:rPr>
          <w:rFonts w:cs="Times New Roman" w:ascii="Nimbus Roman" w:hAnsi="Nimbus Roman"/>
          <w:i w:val="false"/>
          <w:iCs w:val="false"/>
          <w:color w:val="000000"/>
          <w:spacing w:val="4"/>
          <w:sz w:val="26"/>
          <w:szCs w:val="26"/>
        </w:rPr>
        <w:t xml:space="preserve">об оплате труда работников учреждений </w:t>
      </w:r>
      <w:r>
        <w:rPr>
          <w:rFonts w:cs="Times New Roman" w:ascii="Nimbus Roman" w:hAnsi="Nimbus Roman"/>
          <w:i w:val="false"/>
          <w:iCs w:val="false"/>
          <w:color w:val="000000"/>
          <w:spacing w:val="-2"/>
          <w:sz w:val="26"/>
          <w:szCs w:val="26"/>
        </w:rPr>
        <w:t xml:space="preserve">отражено, что для руководителя учреждения размер персонального повышающего коэффициента к должностному окладу устанавливается в размере, не превышающем 300% должностного оклада в месяц, тогда как в постановлении Администрации Ленинского муниципального района Волгоградской области от 24.03.2020г. №132 «Об общих требованиях к положению об оплате труда работников муниципальных учреждений Ленинского муниципального района Волгоградской области» звучит, что размер персонального повышающего коэффициента устанавливается в размере, не превышающем 200% должностного оклада в месяц. </w:t>
      </w:r>
      <w:r>
        <w:rPr>
          <w:rFonts w:cs="Times New Roman" w:ascii="Times New Roman" w:hAnsi="Times New Roman"/>
          <w:i w:val="false"/>
          <w:iCs w:val="false"/>
          <w:color w:val="000000"/>
          <w:spacing w:val="-2"/>
          <w:sz w:val="26"/>
          <w:szCs w:val="26"/>
        </w:rPr>
        <w:t xml:space="preserve">Фактически распоряжением главы Администрации Ленинского муниципального района установлен персональный повышающий коэффициент в размере </w:t>
      </w:r>
      <w:r>
        <w:rPr>
          <w:rFonts w:cs="Times New Roman" w:ascii="Nimbus Roman" w:hAnsi="Nimbus Roman"/>
          <w:i w:val="false"/>
          <w:iCs w:val="false"/>
          <w:color w:val="000000"/>
          <w:spacing w:val="-2"/>
          <w:sz w:val="26"/>
          <w:szCs w:val="26"/>
        </w:rPr>
        <w:t>не превышающем 200% должностного оклада</w:t>
      </w:r>
      <w:r>
        <w:rPr>
          <w:rFonts w:cs="Times New Roman" w:ascii="Times New Roman" w:hAnsi="Times New Roman"/>
          <w:i w:val="false"/>
          <w:iCs w:val="false"/>
          <w:color w:val="000000"/>
          <w:spacing w:val="-2"/>
          <w:sz w:val="26"/>
          <w:szCs w:val="26"/>
        </w:rPr>
        <w:t>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Times New Roman" w:hAnsi="Times New Roman"/>
          <w:i w:val="false"/>
          <w:iCs w:val="false"/>
          <w:color w:val="000000"/>
          <w:spacing w:val="-2"/>
          <w:sz w:val="26"/>
          <w:szCs w:val="26"/>
        </w:rPr>
        <w:tab/>
      </w:r>
      <w:r>
        <w:rPr>
          <w:rFonts w:cs="Times New Roman" w:ascii="Nimbus Roman" w:hAnsi="Nimbus Roman"/>
          <w:i w:val="false"/>
          <w:iCs w:val="false"/>
          <w:color w:val="000000"/>
          <w:spacing w:val="-2"/>
          <w:sz w:val="26"/>
          <w:szCs w:val="26"/>
        </w:rPr>
        <w:t>По результату проверки выписаны представления руководителям учреждений по устранению допущенных нарушений.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4.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Проверка обращения в адрес КСП по вопросам использования муниципального имущества, законности и обоснованности начисления заработной платы лицам, не работающим в </w:t>
      </w:r>
      <w:r>
        <w:rPr>
          <w:rFonts w:cs="Times New Roman" w:ascii="Nimbus Roman" w:hAnsi="Nimbus Roman"/>
          <w:b/>
          <w:bCs/>
          <w:color w:val="000000"/>
          <w:spacing w:val="-4"/>
          <w:sz w:val="26"/>
          <w:szCs w:val="26"/>
          <w:u w:val="none"/>
        </w:rPr>
        <w:t xml:space="preserve">МУП «Колобовское КХ»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и предоставления им бесплатного проезда через наплавной мост через реку Ахтуба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. Проверки проведены </w:t>
      </w:r>
      <w:r>
        <w:rPr>
          <w:rFonts w:cs="Times New Roman" w:ascii="Nimbus Roman" w:hAnsi="Nimbus Roman"/>
          <w:i w:val="false"/>
          <w:iCs w:val="false"/>
          <w:color w:val="000000"/>
          <w:spacing w:val="-2"/>
          <w:sz w:val="26"/>
          <w:szCs w:val="26"/>
        </w:rPr>
        <w:t>в Администрации Колобовского сельского поселения и в МУП «Колобовское КХ», факты изложенные в обращении не подтвердились. В адрес обращающегося направлена обобщающая информация по результату проверки.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Standard"/>
        <w:tabs>
          <w:tab w:val="clear" w:pos="708"/>
          <w:tab w:val="left" w:pos="2212" w:leader="none"/>
        </w:tabs>
        <w:jc w:val="center"/>
        <w:rPr>
          <w:color w:val="000000"/>
        </w:rPr>
      </w:pPr>
      <w:r>
        <w:rPr>
          <w:rFonts w:ascii="Nimbus Roman" w:hAnsi="Nimbus Roman"/>
          <w:b/>
          <w:bCs/>
          <w:color w:val="000000"/>
          <w:sz w:val="26"/>
          <w:szCs w:val="26"/>
        </w:rPr>
        <w:t>3. Экспертно-аналитическая деятельность.</w:t>
      </w:r>
    </w:p>
    <w:p>
      <w:pPr>
        <w:pStyle w:val="Normal"/>
        <w:spacing w:lineRule="auto" w:line="240" w:before="0" w:after="0"/>
        <w:ind w:firstLine="709"/>
        <w:jc w:val="center"/>
        <w:rPr>
          <w:rFonts w:ascii="Nimbus Roman" w:hAnsi="Nimbus Roman" w:eastAsia="Times New Roman" w:cs="Times New Roman"/>
          <w:bCs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</w:r>
    </w:p>
    <w:p>
      <w:pPr>
        <w:pStyle w:val="Textbody"/>
        <w:widowControl w:val="false"/>
        <w:suppressAutoHyphens w:val="true"/>
        <w:bidi w:val="0"/>
        <w:spacing w:lineRule="auto" w:line="240" w:before="0" w:after="0"/>
        <w:ind w:hanging="0" w:left="0" w:right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  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В 2025 году Контрольно-счетной палатой кроме экспертизы проектов бюджетов муниципального района  и городского поселения, проводилась экспертиза муниципальных программ и изменений к ним, всего подготовлено </w:t>
      </w:r>
      <w:r>
        <w:rPr>
          <w:b/>
          <w:bCs/>
          <w:color w:val="000000"/>
          <w:sz w:val="26"/>
          <w:szCs w:val="26"/>
        </w:rPr>
        <w:t>46 экспертно-аналитических заключений</w:t>
      </w:r>
      <w:r>
        <w:rPr>
          <w:color w:val="000000"/>
          <w:sz w:val="26"/>
          <w:szCs w:val="26"/>
        </w:rPr>
        <w:t>, в том  числе: 4  заключения по проектам бюджетов на 2026 год и на плановый период 2027-2028 годов; 7 заключений на внесение изменений в бюджет на 2025 год и на плановый период 2026-2027 годов, 32 заключения на проекты муниципальных программ и изменения к ним; 3 аналитических записки на отчет об исполнении бюджета района.</w:t>
      </w:r>
    </w:p>
    <w:p>
      <w:pPr>
        <w:pStyle w:val="12"/>
        <w:spacing w:before="0" w:after="0"/>
        <w:ind w:right="0"/>
        <w:jc w:val="both"/>
        <w:rPr>
          <w:color w:val="000000"/>
        </w:rPr>
      </w:pPr>
      <w:r>
        <w:rPr>
          <w:rFonts w:ascii="Nimbus Roman" w:hAnsi="Nimbus Roman"/>
          <w:bCs/>
          <w:color w:val="000000"/>
          <w:sz w:val="26"/>
          <w:szCs w:val="26"/>
        </w:rPr>
        <w:tab/>
        <w:t xml:space="preserve">В  рамках предварительного контроля бюджета района  КСП проведена экспертиза проекта </w:t>
      </w:r>
      <w:r>
        <w:rPr>
          <w:rFonts w:ascii="Nimbus Roman" w:hAnsi="Nimbus Roman"/>
          <w:color w:val="000000"/>
          <w:sz w:val="26"/>
          <w:szCs w:val="26"/>
        </w:rPr>
        <w:t xml:space="preserve">решения Ленинской районной Думы «О бюджете Ленинского муниципального района на 2026 год и на плановый период 2027 и  2028 годов», по результату которой  подготовлено 2 экспертных заключения (1 и 2 чтение).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2026-2028 годы, а также анализ планируемых бюджетных расходов. В целом </w:t>
      </w:r>
      <w:r>
        <w:rPr>
          <w:rFonts w:ascii="Nimbus Roman" w:hAnsi="Nimbus Roman"/>
          <w:bCs/>
          <w:color w:val="000000"/>
          <w:sz w:val="26"/>
          <w:szCs w:val="26"/>
        </w:rPr>
        <w:t xml:space="preserve">проект </w:t>
      </w:r>
      <w:r>
        <w:rPr>
          <w:rFonts w:ascii="Nimbus Roman" w:hAnsi="Nimbus Roman"/>
          <w:color w:val="000000"/>
          <w:sz w:val="26"/>
          <w:szCs w:val="26"/>
        </w:rPr>
        <w:t xml:space="preserve">решения Ленинской районной Думы «О бюджете Ленинского муниципального района на 2025 год и на плановый период 2026 и  2027 годов» содержит все основные требования, установленные Положением о бюджетном процессе в Ленинском муниципальном районе и соответствует нормам бюджетного законодательства. </w:t>
      </w:r>
    </w:p>
    <w:p>
      <w:pPr>
        <w:pStyle w:val="12"/>
        <w:ind w:firstLine="708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В соответствии с подписанным соглашением о передаче полномочий по осуществлению внешнего финансового контроля, проведена </w:t>
      </w:r>
      <w:r>
        <w:rPr>
          <w:rFonts w:ascii="Nimbus Roman" w:hAnsi="Nimbus Roman"/>
          <w:bCs/>
          <w:color w:val="000000"/>
          <w:sz w:val="26"/>
          <w:szCs w:val="26"/>
        </w:rPr>
        <w:t xml:space="preserve">экспертиза проекта </w:t>
      </w:r>
      <w:r>
        <w:rPr>
          <w:rFonts w:ascii="Nimbus Roman" w:hAnsi="Nimbus Roman"/>
          <w:color w:val="000000"/>
          <w:sz w:val="26"/>
          <w:szCs w:val="26"/>
        </w:rPr>
        <w:t xml:space="preserve">решения Совета депутатов городского поселения г.Ленинск «О   бюджете городского поселения город Ленинск на 2026 год и на плановый период 2027 - 2028 годов»,  по результату которой  подготовлено 2 экспертных заключения (1 и 2 чтение). </w:t>
      </w:r>
    </w:p>
    <w:p>
      <w:pPr>
        <w:pStyle w:val="ListParagraph"/>
        <w:tabs>
          <w:tab w:val="clear" w:pos="708"/>
          <w:tab w:val="left" w:pos="709" w:leader="none"/>
        </w:tabs>
        <w:ind w:left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ab/>
      </w:r>
      <w:r>
        <w:rPr>
          <w:rFonts w:ascii="Nimbus Roman" w:hAnsi="Nimbus Roman"/>
          <w:i w:val="false"/>
          <w:iCs w:val="false"/>
          <w:color w:val="000000"/>
          <w:sz w:val="26"/>
          <w:szCs w:val="26"/>
          <w:lang w:val="ru-RU"/>
        </w:rPr>
        <w:t xml:space="preserve">Кроме того, проведено </w:t>
      </w: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lang w:val="ru-RU"/>
        </w:rPr>
        <w:t xml:space="preserve">7 экспертно-аналитических мероприятий по соблюдению требований законодательства РФ и иных нормативных правовых актов РФ и Волгоградской области при подготовке проекта решения Ленинской районной Думы Волгоградской области «О внесении изменений в решение Ленинской районной Думы от  12.12.2024г. №16/69 «О бюджете Ленинского муниципального района на 2025 год и на плановый период 2026 и 2027 годов» и 3 аналитических мероприятия по исполнению  </w:t>
      </w:r>
      <w:r>
        <w:rPr>
          <w:rFonts w:eastAsia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lang w:val="ru-RU"/>
        </w:rPr>
        <w:t xml:space="preserve">бюджета </w:t>
      </w:r>
      <w:r>
        <w:rPr>
          <w:rFonts w:eastAsia="Times New Roman" w:ascii="Nimbus Roman" w:hAnsi="Nimbus Roman"/>
          <w:bCs/>
          <w:i w:val="false"/>
          <w:iCs w:val="false"/>
          <w:color w:val="000000"/>
          <w:sz w:val="26"/>
          <w:szCs w:val="26"/>
          <w:lang w:val="ru-RU"/>
        </w:rPr>
        <w:t>Ленинского муниципального района за 1 квартал, 1 полугодие, 9 месяцев 2025 года.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 xml:space="preserve">В ходе проведения экспертиз 32 проектов постановлений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Администрации Ленинского муниципального района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по утверждению и по внесению изменений в муниципальные программы установлены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несоответствия по заполнению отдельных разделов и форм программ 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от 25.09.2018 г. №573 «Об утверждении Порядка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и </w:t>
      </w:r>
      <w:r>
        <w:rPr>
          <w:rFonts w:cs="Times New Roman" w:ascii="Nimbus Roman" w:hAnsi="Nimbus Roman"/>
          <w:color w:val="000000"/>
          <w:sz w:val="26"/>
          <w:szCs w:val="26"/>
        </w:rPr>
        <w:t>даны рекомендации по устранению всех нарушений.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</w:p>
    <w:p>
      <w:pPr>
        <w:pStyle w:val="Normal"/>
        <w:spacing w:lineRule="auto" w:line="240" w:before="0" w:after="0"/>
        <w:jc w:val="center"/>
        <w:rPr>
          <w:b/>
          <w:bCs/>
          <w:color w:val="000000"/>
        </w:rPr>
      </w:pPr>
      <w:r>
        <w:rPr>
          <w:rFonts w:ascii="Nimbus Roman" w:hAnsi="Nimbus Roman"/>
          <w:b/>
          <w:bCs/>
          <w:color w:val="000000"/>
          <w:sz w:val="26"/>
          <w:szCs w:val="26"/>
        </w:rPr>
        <w:t>4. Аудит в сфере закупок.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ab/>
        <w:t xml:space="preserve">Полномочия по осуществлению аудита в сфере закупок возложены на контрольно -счетные органы статьей 98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№44-ФЗ). Контрольно-счетной палатой в 2025 году полномочия по аудиту в сфере закупок осуществлялись в рамках контрольного мероприятия </w:t>
      </w:r>
      <w:r>
        <w:rPr>
          <w:rFonts w:eastAsia="Times New Roman" w:cs="Times New Roman" w:ascii="Times New Roman" w:hAnsi="Times New Roman"/>
          <w:color w:val="000000"/>
          <w:sz w:val="25"/>
          <w:szCs w:val="25"/>
        </w:rPr>
        <w:t xml:space="preserve">обоснованности и результативности </w:t>
      </w:r>
      <w:r>
        <w:rPr>
          <w:rFonts w:eastAsia="Times New Roman" w:cs="Times New Roman" w:ascii="Times New Roman" w:hAnsi="Times New Roman"/>
          <w:color w:val="000000"/>
          <w:sz w:val="25"/>
          <w:szCs w:val="25"/>
          <w:lang w:bidi="ru-RU"/>
        </w:rPr>
        <w:t>использования бюджетных средств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, полученных </w:t>
      </w:r>
      <w:r>
        <w:rPr>
          <w:rFonts w:cs="Times New Roman" w:ascii="Times New Roman" w:hAnsi="Times New Roman"/>
          <w:color w:val="000000"/>
          <w:spacing w:val="6"/>
          <w:sz w:val="25"/>
          <w:szCs w:val="25"/>
          <w:lang w:bidi="ru-RU"/>
        </w:rPr>
        <w:t xml:space="preserve">в рамках реализации  </w:t>
      </w:r>
      <w:r>
        <w:rPr>
          <w:rFonts w:cs="Times New Roman" w:ascii="Times New Roman" w:hAnsi="Times New Roman"/>
          <w:color w:val="000000"/>
          <w:spacing w:val="-4"/>
          <w:sz w:val="25"/>
          <w:szCs w:val="25"/>
          <w:lang w:bidi="ru-RU"/>
        </w:rPr>
        <w:t>муниципальной программы Ленинского муниципального района «Духовно-нравственное воспитание граждан в Ленинском муниципальном районе»</w:t>
      </w:r>
      <w:r>
        <w:rPr>
          <w:rFonts w:cs="Times New Roman" w:ascii="Times New Roman" w:hAnsi="Times New Roman"/>
          <w:color w:val="000000"/>
          <w:sz w:val="25"/>
          <w:szCs w:val="25"/>
        </w:rPr>
        <w:t xml:space="preserve">  в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 МКУК «</w:t>
      </w:r>
      <w:r>
        <w:rPr>
          <w:rFonts w:cs="Times New Roman" w:ascii="Times New Roman" w:hAnsi="Times New Roman"/>
          <w:color w:val="000000"/>
          <w:spacing w:val="-4"/>
          <w:sz w:val="26"/>
          <w:szCs w:val="26"/>
          <w:lang w:bidi="ru-RU"/>
        </w:rPr>
        <w:t>Ленинская межпоселенческая центральная районная библиотека</w:t>
      </w:r>
      <w:r>
        <w:rPr>
          <w:rFonts w:cs="Times New Roman" w:ascii="Times New Roman" w:hAnsi="Times New Roman"/>
          <w:color w:val="000000"/>
          <w:sz w:val="25"/>
          <w:szCs w:val="25"/>
          <w:lang w:bidi="ru-RU"/>
        </w:rPr>
        <w:t xml:space="preserve">».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ab/>
        <w:t>Аудит организации и проведения закупок показал следующее: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ab/>
        <w:t xml:space="preserve">-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первоначальный план график закупок товаров, работ, услуг на 2024 финансовый год и на плановый период 2025 и 2026 годов утвержден и размещен в ЕИС 14.02.2024г., </w:t>
      </w:r>
      <w:r>
        <w:rPr>
          <w:rFonts w:cs="Times New Roman" w:ascii="Times New Roman" w:hAnsi="Times New Roman"/>
          <w:i/>
          <w:color w:val="000000"/>
          <w:sz w:val="26"/>
          <w:szCs w:val="26"/>
        </w:rPr>
        <w:t xml:space="preserve">т.е. с нарушением срока  установленного ч.6 ст.16 Федерального закона №44-ФЗ на 13 рабочих дней. </w:t>
      </w:r>
      <w:r>
        <w:rPr>
          <w:rFonts w:eastAsia="Calibri" w:cs="Times New Roman" w:ascii="Times New Roman" w:hAnsi="Times New Roman"/>
          <w:i/>
          <w:color w:val="000000"/>
          <w:sz w:val="26"/>
          <w:szCs w:val="26"/>
        </w:rPr>
        <w:t xml:space="preserve">За нарушение срока  утверждения плана-графика закупок предусмотрена административная ответственность в соответствии с частью 1 статьи 7.30.1 КоАП РФ, однако в </w:t>
      </w:r>
      <w:r>
        <w:rPr>
          <w:rFonts w:eastAsia="Calibri" w:cs="Times New Roman" w:ascii="Times New Roman" w:hAnsi="Times New Roman"/>
          <w:i/>
          <w:color w:val="000000"/>
          <w:sz w:val="26"/>
          <w:szCs w:val="26"/>
          <w:lang w:eastAsia="en-US"/>
        </w:rPr>
        <w:t>связи с истечением срока давности привлечение к административной ответственности не представляется возможным  (ст.4.5 КоАП РФ);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Calibri" w:cs="Times New Roman" w:ascii="Times New Roman" w:hAnsi="Times New Roman"/>
          <w:i/>
          <w:color w:val="000000"/>
          <w:sz w:val="26"/>
          <w:szCs w:val="26"/>
          <w:lang w:eastAsia="en-US"/>
        </w:rPr>
        <w:tab/>
        <w:t>- с</w:t>
      </w:r>
      <w:r>
        <w:rPr>
          <w:rFonts w:eastAsia="Calibri" w:cs="Times New Roman" w:ascii="Times New Roman" w:hAnsi="Times New Roman"/>
          <w:color w:val="000000"/>
          <w:sz w:val="26"/>
          <w:szCs w:val="26"/>
          <w:lang w:bidi="ru-RU"/>
        </w:rPr>
        <w:t xml:space="preserve">овокупный годовой объем закупок, осуществленных в 2024 году, с применением положений </w:t>
      </w:r>
      <w:r>
        <w:rPr>
          <w:rFonts w:cs="Times New Roman" w:ascii="Times New Roman" w:hAnsi="Times New Roman"/>
          <w:color w:val="000000"/>
          <w:sz w:val="26"/>
          <w:szCs w:val="26"/>
          <w:lang w:bidi="ru-RU"/>
        </w:rPr>
        <w:t>Федерального закона №44-ФЗ, составил 334,65 тыс. руб. Муниципальные контракты заключались с единственным поставщиком, на основании пунктов 4, 8, 29 части 1  и статьи 93 Федерального закона №44-ФЗ,  обоснование НМЦК осуществлялось на основании расчетов посредством применения тарифного метода и метода сопоставимых рыночных цен (анализ рынка);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cs="Times New Roman" w:ascii="Times New Roman" w:hAnsi="Times New Roman"/>
          <w:bCs/>
          <w:color w:val="000000"/>
          <w:w w:val="101"/>
          <w:sz w:val="26"/>
          <w:szCs w:val="26"/>
        </w:rPr>
        <w:t>- цели осуществления закупок достигнуты, п</w:t>
      </w:r>
      <w:r>
        <w:rPr>
          <w:rFonts w:cs="Times New Roman" w:ascii="Times New Roman" w:hAnsi="Times New Roman"/>
          <w:bCs/>
          <w:color w:val="000000"/>
          <w:w w:val="101"/>
          <w:sz w:val="26"/>
          <w:szCs w:val="26"/>
          <w:lang w:bidi="ru-RU"/>
        </w:rPr>
        <w:t xml:space="preserve">роизведенные закупки признаны обоснованными, так как контракты (муниципальные контракты, договора) заключены </w:t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  <w:lang w:bidi="ru-RU"/>
        </w:rPr>
        <w:t>в соответствии с положениями </w:t>
      </w:r>
      <w:r>
        <w:fldChar w:fldCharType="begin"/>
      </w:r>
      <w:r>
        <w:rPr>
          <w:rStyle w:val="Hyperlink"/>
          <w:sz w:val="26"/>
          <w:shd w:fill="FFFFFF" w:val="clear"/>
          <w:szCs w:val="26"/>
          <w:rFonts w:cs="Times New Roman" w:ascii="Times New Roman" w:hAnsi="Times New Roman"/>
          <w:color w:val="000000"/>
          <w:lang w:bidi="ru-RU"/>
        </w:rPr>
        <w:instrText xml:space="preserve"> HYPERLINK "https://internet.garant.ru/" \l "/document/70353464/entry/19"</w:instrText>
      </w:r>
      <w:r>
        <w:rPr>
          <w:rStyle w:val="Hyperlink"/>
          <w:sz w:val="26"/>
          <w:shd w:fill="FFFFFF" w:val="clear"/>
          <w:szCs w:val="26"/>
          <w:rFonts w:cs="Times New Roman" w:ascii="Times New Roman" w:hAnsi="Times New Roman"/>
          <w:color w:val="000000"/>
          <w:lang w:bidi="ru-RU"/>
        </w:rPr>
        <w:fldChar w:fldCharType="separate"/>
      </w:r>
      <w:r>
        <w:rPr>
          <w:rStyle w:val="Hyperlink"/>
          <w:rFonts w:cs="Times New Roman" w:ascii="Times New Roman" w:hAnsi="Times New Roman"/>
          <w:color w:val="000000"/>
          <w:sz w:val="26"/>
          <w:szCs w:val="26"/>
          <w:shd w:fill="FFFFFF" w:val="clear"/>
          <w:lang w:bidi="ru-RU"/>
        </w:rPr>
        <w:t>статей 19</w:t>
      </w:r>
      <w:r>
        <w:rPr>
          <w:rStyle w:val="Hyperlink"/>
          <w:sz w:val="26"/>
          <w:shd w:fill="FFFFFF" w:val="clear"/>
          <w:szCs w:val="26"/>
          <w:rFonts w:cs="Times New Roman" w:ascii="Times New Roman" w:hAnsi="Times New Roman"/>
          <w:color w:val="000000"/>
          <w:lang w:bidi="ru-RU"/>
        </w:rPr>
        <w:fldChar w:fldCharType="end"/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  <w:lang w:bidi="ru-RU"/>
        </w:rPr>
        <w:t> и </w:t>
      </w:r>
      <w:r>
        <w:fldChar w:fldCharType="begin"/>
      </w:r>
      <w:r>
        <w:rPr>
          <w:rStyle w:val="Hyperlink"/>
          <w:sz w:val="26"/>
          <w:shd w:fill="FFFFFF" w:val="clear"/>
          <w:szCs w:val="26"/>
          <w:rFonts w:cs="Times New Roman" w:ascii="Times New Roman" w:hAnsi="Times New Roman"/>
          <w:color w:val="000000"/>
          <w:lang w:bidi="ru-RU"/>
        </w:rPr>
        <w:instrText xml:space="preserve"> HYPERLINK "https://internet.garant.ru/" \l "/document/70353464/entry/22"</w:instrText>
      </w:r>
      <w:r>
        <w:rPr>
          <w:rStyle w:val="Hyperlink"/>
          <w:sz w:val="26"/>
          <w:shd w:fill="FFFFFF" w:val="clear"/>
          <w:szCs w:val="26"/>
          <w:rFonts w:cs="Times New Roman" w:ascii="Times New Roman" w:hAnsi="Times New Roman"/>
          <w:color w:val="000000"/>
          <w:lang w:bidi="ru-RU"/>
        </w:rPr>
        <w:fldChar w:fldCharType="separate"/>
      </w:r>
      <w:r>
        <w:rPr>
          <w:rStyle w:val="Hyperlink"/>
          <w:rFonts w:cs="Times New Roman" w:ascii="Times New Roman" w:hAnsi="Times New Roman"/>
          <w:color w:val="000000"/>
          <w:sz w:val="26"/>
          <w:szCs w:val="26"/>
          <w:shd w:fill="FFFFFF" w:val="clear"/>
          <w:lang w:bidi="ru-RU"/>
        </w:rPr>
        <w:t>22</w:t>
      </w:r>
      <w:r>
        <w:rPr>
          <w:rStyle w:val="Hyperlink"/>
          <w:sz w:val="26"/>
          <w:shd w:fill="FFFFFF" w:val="clear"/>
          <w:szCs w:val="26"/>
          <w:rFonts w:cs="Times New Roman" w:ascii="Times New Roman" w:hAnsi="Times New Roman"/>
          <w:color w:val="000000"/>
          <w:lang w:bidi="ru-RU"/>
        </w:rPr>
        <w:fldChar w:fldCharType="end"/>
      </w:r>
      <w:r>
        <w:rPr>
          <w:rFonts w:cs="Times New Roman" w:ascii="Times New Roman" w:hAnsi="Times New Roman"/>
          <w:color w:val="000000"/>
          <w:sz w:val="26"/>
          <w:szCs w:val="26"/>
          <w:shd w:fill="FFFFFF" w:val="clear"/>
          <w:lang w:bidi="ru-RU"/>
        </w:rPr>
        <w:t> Федерального закона №44-ФЗ.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Cs/>
          <w:color w:val="000000"/>
          <w:w w:val="101"/>
          <w:sz w:val="26"/>
          <w:szCs w:val="26"/>
        </w:rPr>
      </w:pPr>
      <w:r>
        <w:rPr>
          <w:rFonts w:cs="Times New Roman" w:ascii="Times New Roman" w:hAnsi="Times New Roman"/>
          <w:bCs/>
          <w:color w:val="000000"/>
          <w:w w:val="101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5. Нормотворческая, информационная и иная  деятельность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ascii="Nimbus Roman" w:hAnsi="Nimbus Roman"/>
          <w:bCs/>
          <w:iCs/>
          <w:color w:val="000000"/>
          <w:sz w:val="26"/>
          <w:szCs w:val="26"/>
        </w:rPr>
        <w:t xml:space="preserve">В отчетном году продолжилась работа по стандартизации деятельности КСП в рамках реализации требований статьи 11 Федерального закона от 07.02.2011 №6-ФЗ «Об общих принципах организации и деятельности контрольно-счетных органов субъектов РФ и муниципальных образований». </w:t>
      </w:r>
      <w:r>
        <w:rPr>
          <w:rFonts w:ascii="Nimbus Roman" w:hAnsi="Nimbus Roman"/>
          <w:color w:val="000000"/>
          <w:sz w:val="26"/>
          <w:szCs w:val="26"/>
        </w:rPr>
        <w:t>Общие требования к стандартам внешнего государственного и муниципального контроля утверждены Счетной палатой РФ. На их основе в 2025 году Контрольно-счетной палатой разработан и утвержден Стандарт внешнего муниципального финансового контроля «Осуществление контроля</w:t>
      </w:r>
      <w:r>
        <w:rPr>
          <w:rFonts w:eastAsia="Calibri" w:ascii="Nimbus Roman" w:hAnsi="Nimbus Roman"/>
          <w:color w:val="000000"/>
          <w:sz w:val="26"/>
          <w:szCs w:val="26"/>
        </w:rPr>
        <w:t xml:space="preserve"> за соблюдением установленного порядка управления и распоряжения муниципальным имуществом Ленинского муниципального района».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Информация о результатах контрольных и экспертно-аналитических мероприятий, план и отчет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КСП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, размещалась на официальном сайте Контрольно-счетной палаты (</w:t>
      </w:r>
      <w:hyperlink r:id="rId3"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  <w:lang w:val="en-US"/>
          </w:rPr>
          <w:t>www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</w:rPr>
          <w:t>./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  <w:lang w:val="en-US"/>
          </w:rPr>
          <w:t>proverkaksp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</w:rPr>
          <w:t>.</w:t>
        </w:r>
        <w:r>
          <w:rPr>
            <w:rStyle w:val="Hyperlink"/>
            <w:rFonts w:cs="Times New Roman" w:ascii="Nimbus Roman" w:hAnsi="Nimbus Roman"/>
            <w:color w:val="000000"/>
            <w:sz w:val="26"/>
            <w:szCs w:val="26"/>
            <w:lang w:val="en-US"/>
          </w:rPr>
          <w:t>ru</w:t>
        </w:r>
      </w:hyperlink>
      <w:r>
        <w:rPr>
          <w:rFonts w:cs="Times New Roman" w:ascii="Nimbus Roman" w:hAnsi="Nimbus Roman"/>
          <w:color w:val="000000"/>
          <w:sz w:val="26"/>
          <w:szCs w:val="26"/>
        </w:rPr>
        <w:t>).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В отчетном периоде произведено размещение информационных материалов: на сайте КСП  73, в СМИ  3.</w:t>
      </w:r>
    </w:p>
    <w:p>
      <w:pPr>
        <w:pStyle w:val="Normal"/>
        <w:spacing w:lineRule="auto" w:line="240" w:before="0" w:after="0"/>
        <w:ind w:firstLine="709"/>
        <w:contextualSpacing/>
        <w:jc w:val="both"/>
        <w:rPr/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Обобщающая информация об осуществлении аудита  в сфере закупок опубликована в единой информационной системе (</w:t>
      </w:r>
      <w:hyperlink r:id="rId4">
        <w:r>
          <w:rPr>
            <w:rStyle w:val="Hyperlink"/>
            <w:rFonts w:eastAsia="Times New Roman" w:cs="Times New Roman" w:ascii="Nimbus Roman" w:hAnsi="Nimbus Roman"/>
            <w:color w:val="000000"/>
            <w:sz w:val="26"/>
            <w:szCs w:val="26"/>
            <w:u w:val="single"/>
          </w:rPr>
          <w:t>http://zakupki.gov.ru</w:t>
        </w:r>
      </w:hyperlink>
      <w:r>
        <w:rPr>
          <w:rFonts w:eastAsia="Times New Roman" w:cs="Times New Roman" w:ascii="Nimbus Roman" w:hAnsi="Nimbus Roman"/>
          <w:color w:val="000000"/>
          <w:sz w:val="26"/>
          <w:szCs w:val="26"/>
        </w:rPr>
        <w:t>).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Контрольно-счётная палата является членом Союза муниципальных контрольно-счётных органов Российской Федерации с 2020 года. В минувшем году КСП с целью изучения опыта работы и обмена практическими наработками принимала участие в вебинарах, организованных Счетной палатой РФ (5 вебинаров) и Союзом МКСО (9 вебинаров), а также взаимодействовала с Союзом муниципальных контрольно-счётных органов в Южном федеральном округе, Контрольно-счётной палатой Волгоградской области и КСП муниципальных образований Волгоградской области. 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eastAsia="Times New Roman" w:cs="Times New Roman"/>
          <w:bCs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ind w:hanging="0" w:left="1760"/>
        <w:rPr>
          <w:color w:val="000000"/>
        </w:rPr>
      </w:pPr>
      <w:bookmarkStart w:id="2" w:name="_Hlk3377851_Копия_1"/>
      <w:bookmarkEnd w:id="2"/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>6. Взаимодействие с правоохранительными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 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>органами.</w:t>
      </w:r>
    </w:p>
    <w:p>
      <w:pPr>
        <w:pStyle w:val="ListParagraph"/>
        <w:shd w:val="clear" w:color="auto" w:fill="FFFFFF"/>
        <w:ind w:left="1400"/>
        <w:jc w:val="center"/>
        <w:rPr>
          <w:rFonts w:ascii="Nimbus Roman" w:hAnsi="Nimbus Roman" w:eastAsia="Times New Roman"/>
          <w:color w:val="000000"/>
          <w:sz w:val="26"/>
          <w:szCs w:val="26"/>
        </w:rPr>
      </w:pPr>
      <w:r>
        <w:rPr>
          <w:rFonts w:eastAsia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ind w:firstLine="708"/>
        <w:jc w:val="both"/>
        <w:rPr>
          <w:color w:val="000000"/>
        </w:rPr>
      </w:pP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Контрольно-счетной палатой з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аключены соглашения о взаимодействии  с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</w:r>
      <w:r>
        <w:rPr>
          <w:rFonts w:ascii="Nimbus Roman" w:hAnsi="Nimbus Roman"/>
          <w:color w:val="000000"/>
          <w:sz w:val="26"/>
          <w:szCs w:val="26"/>
        </w:rPr>
        <w:t>В рамках соглашения с прокуратурой Ленинского района информация о результатах проверок  направлялась в прокуратуру для правовой оценки выявленных нарушений.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p>
      <w:pPr>
        <w:pStyle w:val="ListParagraph"/>
        <w:numPr>
          <w:ilvl w:val="0"/>
          <w:numId w:val="0"/>
        </w:numPr>
        <w:shd w:val="clear" w:color="auto" w:fill="FFFFFF"/>
        <w:ind w:hanging="0" w:left="1760"/>
        <w:jc w:val="center"/>
        <w:rPr>
          <w:color w:val="000000"/>
        </w:rPr>
      </w:pPr>
      <w:r>
        <w:rPr>
          <w:rFonts w:eastAsia="Times New Roman" w:ascii="Nimbus Roman" w:hAnsi="Nimbus Roman"/>
          <w:b/>
          <w:bCs/>
          <w:color w:val="000000"/>
          <w:sz w:val="26"/>
          <w:szCs w:val="26"/>
          <w:lang w:val="ru-RU"/>
        </w:rPr>
        <w:t xml:space="preserve">7. </w:t>
      </w:r>
      <w:r>
        <w:rPr>
          <w:rFonts w:ascii="Nimbus Roman" w:hAnsi="Nimbus Roman"/>
          <w:b/>
          <w:bCs/>
          <w:color w:val="000000"/>
          <w:sz w:val="26"/>
          <w:szCs w:val="26"/>
        </w:rPr>
        <w:t>Заключение.</w:t>
      </w:r>
    </w:p>
    <w:p>
      <w:pPr>
        <w:pStyle w:val="ListParagraph"/>
        <w:numPr>
          <w:ilvl w:val="0"/>
          <w:numId w:val="0"/>
        </w:numPr>
        <w:shd w:val="clear" w:color="auto" w:fill="FFFFFF"/>
        <w:ind w:hanging="0" w:left="1760"/>
        <w:jc w:val="center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ab/>
        <w:t>План деятельности Контрольно-счётной палаты на 2025 год выполнен в полном объёме и с соблюдением всех установленных сроков проведения мероприятий. Как и в предыдущие годы, оказание практической помощи проверяемым поселениям и организациям в повышении эффективности их работы, укреплении финансово-хозяйственной дисциплины и налаживании должного бухгалтерского учета и бюджетной отчетности останется одним из приоритетных направлений в деятельности КСП.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color w:val="000000"/>
          <w:sz w:val="26"/>
          <w:szCs w:val="26"/>
        </w:rPr>
        <w:tab/>
        <w:t xml:space="preserve">План работы на 2026 год утверждён приказом КСП от 25.12.2025г. №2 и размещён на официальном сайте КСП. Предложения для включения в план работы КСП на 2026 год от Ленинской районной Думы и Главы Ленинского муниципального района не поступали. Основные направления деятельности Контрольно-счетной палаты в 2026 году сформированы в соответствии с задачами и функциями, возложенными на контрольно-счетные органы Федеральным законом от 07.02.2011 № 6-ФЗ, Бюджетным кодексом Российской Федерации. В план контрольной деятельности кроме проверок годовых отчетов об исполнении бюджетов и бюджетной отчетности ГРБС, включены проверки, затрагивающие обоснованность и результативность использования средств бюджета района на реализацию муниципальных программ, а также проверка </w:t>
      </w:r>
      <w:r>
        <w:rPr>
          <w:rFonts w:eastAsia="" w:cs="Times New Roman" w:ascii="Nimbus Roman" w:hAnsi="Nimbus Roman"/>
          <w:color w:val="000000"/>
          <w:kern w:val="0"/>
          <w:sz w:val="26"/>
          <w:szCs w:val="26"/>
          <w:lang w:val="ru-RU" w:eastAsia="ru-RU" w:bidi="ar-SA"/>
        </w:rPr>
        <w:t>законного и эффективного использования средств бюджета района и 1</w:t>
      </w:r>
      <w:r>
        <w:rPr>
          <w:rFonts w:ascii="Nimbus Roman" w:hAnsi="Nimbus Roman"/>
          <w:color w:val="000000"/>
          <w:sz w:val="26"/>
          <w:szCs w:val="26"/>
        </w:rPr>
        <w:t xml:space="preserve"> параллельное контрольное мероприятие с КСП Волгоградской области.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>Председатель Контрольно-счетной палаты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color w:val="000000"/>
        </w:rPr>
      </w:pPr>
      <w:r>
        <w:rPr>
          <w:rFonts w:eastAsia="Times New Roman" w:cs="Times New Roman" w:ascii="Nimbus Roman" w:hAnsi="Nimbus Roman"/>
          <w:bCs/>
          <w:color w:val="000000"/>
          <w:sz w:val="26"/>
          <w:szCs w:val="26"/>
        </w:rPr>
        <w:t>Ленинского муниципального района                                                              Т.В.Мололкина</w:t>
      </w:r>
    </w:p>
    <w:sectPr>
      <w:type w:val="nextPage"/>
      <w:pgSz w:w="11906" w:h="16838"/>
      <w:pgMar w:left="1134" w:right="624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Times New Roman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3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0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c2422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3">
    <w:name w:val="Heading 3"/>
    <w:basedOn w:val="Normal"/>
    <w:next w:val="Normal"/>
    <w:link w:val="31"/>
    <w:uiPriority w:val="9"/>
    <w:semiHidden/>
    <w:unhideWhenUsed/>
    <w:qFormat/>
    <w:rsid w:val="000d5f06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9b469b"/>
    <w:pPr>
      <w:spacing w:lineRule="auto" w:line="240" w:before="240" w:after="60"/>
      <w:outlineLvl w:val="6"/>
    </w:pPr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2" w:customStyle="1">
    <w:name w:val="Верхний колонтитул Знак"/>
    <w:basedOn w:val="DefaultParagraphFont"/>
    <w:qFormat/>
    <w:rsid w:val="00095b96"/>
    <w:rPr/>
  </w:style>
  <w:style w:type="character" w:styleId="Style13" w:customStyle="1">
    <w:name w:val="Нижний колонтитул Знак"/>
    <w:basedOn w:val="DefaultParagraphFont"/>
    <w:uiPriority w:val="99"/>
    <w:qFormat/>
    <w:rsid w:val="00095b96"/>
    <w:rPr/>
  </w:style>
  <w:style w:type="character" w:styleId="Emphasis">
    <w:name w:val="Emphasis"/>
    <w:basedOn w:val="DefaultParagraphFont"/>
    <w:uiPriority w:val="20"/>
    <w:qFormat/>
    <w:rsid w:val="00af7427"/>
    <w:rPr>
      <w:rFonts w:ascii="Calibri" w:hAnsi="Calibri" w:asciiTheme="minorHAnsi" w:hAnsiTheme="minorHAnsi"/>
      <w:b/>
      <w:i/>
      <w:iCs/>
    </w:rPr>
  </w:style>
  <w:style w:type="character" w:styleId="Style14" w:customStyle="1">
    <w:name w:val="Основной текст Знак"/>
    <w:basedOn w:val="DefaultParagraphFont"/>
    <w:qFormat/>
    <w:rsid w:val="00f957c8"/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character" w:styleId="7" w:customStyle="1">
    <w:name w:val="Заголовок 7 Знак"/>
    <w:basedOn w:val="DefaultParagraphFont"/>
    <w:uiPriority w:val="9"/>
    <w:semiHidden/>
    <w:qFormat/>
    <w:rsid w:val="009b469b"/>
    <w:rPr>
      <w:rFonts w:ascii="Calibri" w:hAnsi="Calibri" w:eastAsia="Times New Roman" w:cs="Times New Roman"/>
      <w:sz w:val="24"/>
      <w:szCs w:val="24"/>
      <w:lang w:val="en-US" w:eastAsia="en-US" w:bidi="en-US"/>
    </w:rPr>
  </w:style>
  <w:style w:type="character" w:styleId="Apple-converted-space" w:customStyle="1">
    <w:name w:val="apple-converted-space"/>
    <w:basedOn w:val="DefaultParagraphFont"/>
    <w:qFormat/>
    <w:rsid w:val="0033579b"/>
    <w:rPr/>
  </w:style>
  <w:style w:type="character" w:styleId="3" w:customStyle="1">
    <w:name w:val="Основной текст с отступом 3 Знак"/>
    <w:basedOn w:val="DefaultParagraphFont"/>
    <w:link w:val="BodyTextIndent3"/>
    <w:uiPriority w:val="99"/>
    <w:qFormat/>
    <w:rsid w:val="005740f7"/>
    <w:rPr>
      <w:sz w:val="16"/>
      <w:szCs w:val="16"/>
    </w:rPr>
  </w:style>
  <w:style w:type="character" w:styleId="2" w:customStyle="1">
    <w:name w:val="Стиль2 Знак"/>
    <w:link w:val="23"/>
    <w:uiPriority w:val="99"/>
    <w:qFormat/>
    <w:locked/>
    <w:rsid w:val="002203a4"/>
    <w:rPr>
      <w:rFonts w:ascii="Times New Roman" w:hAnsi="Times New Roman" w:eastAsia="Calibri" w:cs="Times New Roman"/>
      <w:b/>
      <w:i/>
      <w:sz w:val="24"/>
      <w:szCs w:val="20"/>
    </w:rPr>
  </w:style>
  <w:style w:type="character" w:styleId="Style15" w:customStyle="1">
    <w:name w:val="Подзаголовок Знак"/>
    <w:basedOn w:val="DefaultParagraphFont"/>
    <w:qFormat/>
    <w:rsid w:val="00d33781"/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character" w:styleId="Style16" w:customStyle="1">
    <w:name w:val="Основной текст с отступом Знак"/>
    <w:basedOn w:val="DefaultParagraphFont"/>
    <w:qFormat/>
    <w:rsid w:val="00d33781"/>
    <w:rPr>
      <w:rFonts w:ascii="Times New Roman" w:hAnsi="Times New Roman" w:eastAsia="Times New Roman" w:cs="Times New Roman"/>
      <w:sz w:val="24"/>
      <w:szCs w:val="24"/>
    </w:rPr>
  </w:style>
  <w:style w:type="character" w:styleId="1" w:customStyle="1">
    <w:name w:val="Заголовок 1 Знак"/>
    <w:basedOn w:val="DefaultParagraphFont"/>
    <w:uiPriority w:val="9"/>
    <w:qFormat/>
    <w:rsid w:val="00ec24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rong">
    <w:name w:val="Strong"/>
    <w:basedOn w:val="DefaultParagraphFont"/>
    <w:uiPriority w:val="22"/>
    <w:qFormat/>
    <w:rsid w:val="0019500b"/>
    <w:rPr>
      <w:b/>
      <w:bCs/>
    </w:rPr>
  </w:style>
  <w:style w:type="character" w:styleId="Style17" w:customStyle="1">
    <w:name w:val="Гипертекстовая ссылка"/>
    <w:basedOn w:val="DefaultParagraphFont"/>
    <w:uiPriority w:val="99"/>
    <w:qFormat/>
    <w:rsid w:val="0019500b"/>
    <w:rPr>
      <w:rFonts w:cs="Times New Roman"/>
      <w:color w:val="106BBE"/>
    </w:rPr>
  </w:style>
  <w:style w:type="character" w:styleId="21" w:customStyle="1">
    <w:name w:val="Основной текст 2 Знак"/>
    <w:basedOn w:val="DefaultParagraphFont"/>
    <w:link w:val="BodyText2"/>
    <w:uiPriority w:val="99"/>
    <w:semiHidden/>
    <w:qFormat/>
    <w:rsid w:val="00a309ef"/>
    <w:rPr/>
  </w:style>
  <w:style w:type="character" w:styleId="Style18" w:customStyle="1">
    <w:name w:val="Абзац списка Знак"/>
    <w:link w:val="ListParagraph"/>
    <w:uiPriority w:val="34"/>
    <w:qFormat/>
    <w:locked/>
    <w:rsid w:val="00403665"/>
    <w:rPr>
      <w:rFonts w:cs="Times New Roman"/>
      <w:sz w:val="24"/>
      <w:szCs w:val="24"/>
      <w:lang w:val="en-US" w:eastAsia="en-US" w:bidi="en-US"/>
    </w:rPr>
  </w:style>
  <w:style w:type="character" w:styleId="Hyperlink">
    <w:name w:val="Hyperlink"/>
    <w:basedOn w:val="DefaultParagraphFont"/>
    <w:uiPriority w:val="99"/>
    <w:unhideWhenUsed/>
    <w:rsid w:val="00b130ef"/>
    <w:rPr>
      <w:strike w:val="false"/>
      <w:dstrike w:val="false"/>
      <w:color w:val="2060A4"/>
      <w:u w:val="none"/>
      <w:effect w:val="none"/>
    </w:rPr>
  </w:style>
  <w:style w:type="character" w:styleId="Style19" w:customStyle="1">
    <w:name w:val="Цветовое выделение"/>
    <w:uiPriority w:val="99"/>
    <w:qFormat/>
    <w:rsid w:val="00a86d43"/>
    <w:rPr>
      <w:b/>
      <w:bCs/>
      <w:color w:val="000080"/>
      <w:sz w:val="20"/>
      <w:szCs w:val="20"/>
    </w:rPr>
  </w:style>
  <w:style w:type="character" w:styleId="Style20" w:customStyle="1">
    <w:name w:val="Основной текст_"/>
    <w:link w:val="24"/>
    <w:qFormat/>
    <w:locked/>
    <w:rsid w:val="00253527"/>
    <w:rPr>
      <w:b/>
      <w:bCs/>
      <w:spacing w:val="4"/>
      <w:shd w:fill="FFFFFF" w:val="clear"/>
    </w:rPr>
  </w:style>
  <w:style w:type="character" w:styleId="Style21" w:customStyle="1">
    <w:name w:val="Название Знак"/>
    <w:uiPriority w:val="99"/>
    <w:qFormat/>
    <w:locked/>
    <w:rsid w:val="006422a1"/>
    <w:rPr>
      <w:sz w:val="24"/>
      <w:szCs w:val="24"/>
    </w:rPr>
  </w:style>
  <w:style w:type="character" w:styleId="105pt0pt" w:customStyle="1">
    <w:name w:val="Основной текст + 10;5 pt;Не полужирный;Интервал 0 pt"/>
    <w:qFormat/>
    <w:rsid w:val="00017314"/>
    <w:rPr>
      <w:b/>
      <w:bCs/>
      <w:color w:val="000000"/>
      <w:spacing w:val="1"/>
      <w:w w:val="100"/>
      <w:sz w:val="21"/>
      <w:szCs w:val="21"/>
      <w:shd w:fill="FFFFFF" w:val="clear"/>
      <w:lang w:val="ru-RU" w:eastAsia="ru-RU" w:bidi="ru-RU"/>
    </w:rPr>
  </w:style>
  <w:style w:type="character" w:styleId="22" w:customStyle="1">
    <w:name w:val="Основной шрифт абзаца2"/>
    <w:qFormat/>
    <w:rsid w:val="00834ceb"/>
    <w:rPr>
      <w:sz w:val="20"/>
    </w:rPr>
  </w:style>
  <w:style w:type="character" w:styleId="S12" w:customStyle="1">
    <w:name w:val="s12"/>
    <w:qFormat/>
    <w:rsid w:val="0022467e"/>
    <w:rPr/>
  </w:style>
  <w:style w:type="character" w:styleId="Nobr" w:customStyle="1">
    <w:name w:val="nobr"/>
    <w:basedOn w:val="DefaultParagraphFont"/>
    <w:qFormat/>
    <w:rsid w:val="0022467e"/>
    <w:rPr/>
  </w:style>
  <w:style w:type="character" w:styleId="Style22" w:customStyle="1">
    <w:name w:val="Обычный (веб) Знак"/>
    <w:link w:val="NormalWeb"/>
    <w:qFormat/>
    <w:rsid w:val="00de427b"/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character" w:styleId="10" w:customStyle="1">
    <w:name w:val="Основной текст + 10"/>
    <w:qFormat/>
    <w:rsid w:val="00b37aa0"/>
    <w:rPr>
      <w:b/>
      <w:bCs/>
      <w:color w:val="000000"/>
      <w:spacing w:val="1"/>
      <w:w w:val="100"/>
      <w:sz w:val="21"/>
      <w:szCs w:val="21"/>
      <w:shd w:fill="FFFFFF" w:val="clear"/>
      <w:lang w:val="ru-RU" w:eastAsia="ru-RU" w:bidi="ru-RU"/>
    </w:rPr>
  </w:style>
  <w:style w:type="character" w:styleId="11" w:customStyle="1">
    <w:name w:val="Основной шрифт абзаца1"/>
    <w:qFormat/>
    <w:rsid w:val="00f23775"/>
    <w:rPr/>
  </w:style>
  <w:style w:type="character" w:styleId="31" w:customStyle="1">
    <w:name w:val="Заголовок 3 Знак"/>
    <w:basedOn w:val="DefaultParagraphFont"/>
    <w:uiPriority w:val="9"/>
    <w:semiHidden/>
    <w:qFormat/>
    <w:rsid w:val="000d5f06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unhideWhenUsed/>
    <w:rsid w:val="00f957c8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val="en-US" w:eastAsia="en-US" w:bidi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1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2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5">
    <w:name w:val="Колонтитул"/>
    <w:basedOn w:val="Normal"/>
    <w:qFormat/>
    <w:pPr/>
    <w:rPr/>
  </w:style>
  <w:style w:type="paragraph" w:styleId="Header">
    <w:name w:val="Header"/>
    <w:basedOn w:val="Normal"/>
    <w:link w:val="Style12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3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04b37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en-US" w:eastAsia="en-US" w:bidi="en-US"/>
    </w:rPr>
  </w:style>
  <w:style w:type="paragraph" w:styleId="NormalWeb">
    <w:name w:val="Normal (Web)"/>
    <w:basedOn w:val="Normal"/>
    <w:link w:val="Style22"/>
    <w:qFormat/>
    <w:rsid w:val="00004b37"/>
    <w:pPr>
      <w:suppressAutoHyphens w:val="true"/>
      <w:spacing w:lineRule="auto" w:line="240" w:before="100" w:after="119"/>
    </w:pPr>
    <w:rPr>
      <w:rFonts w:ascii="Times New Roman" w:hAnsi="Times New Roman" w:eastAsia="Times New Roman" w:cs="Times New Roman"/>
      <w:sz w:val="24"/>
      <w:szCs w:val="24"/>
      <w:lang w:val="en-US" w:eastAsia="ar-SA" w:bidi="en-US"/>
    </w:rPr>
  </w:style>
  <w:style w:type="paragraph" w:styleId="ListParagraph">
    <w:name w:val="List Paragraph"/>
    <w:basedOn w:val="Normal"/>
    <w:link w:val="Style18"/>
    <w:uiPriority w:val="34"/>
    <w:qFormat/>
    <w:rsid w:val="00365b89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0b5289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Consplusnormal1" w:customStyle="1">
    <w:name w:val="consplusnormal1"/>
    <w:basedOn w:val="Normal"/>
    <w:qFormat/>
    <w:rsid w:val="0033579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odyTextIndent3">
    <w:name w:val="Body Text Indent 3"/>
    <w:basedOn w:val="Normal"/>
    <w:link w:val="3"/>
    <w:uiPriority w:val="99"/>
    <w:unhideWhenUsed/>
    <w:qFormat/>
    <w:rsid w:val="005740f7"/>
    <w:pPr>
      <w:spacing w:before="0" w:after="120"/>
      <w:ind w:left="283"/>
    </w:pPr>
    <w:rPr>
      <w:sz w:val="16"/>
      <w:szCs w:val="16"/>
    </w:rPr>
  </w:style>
  <w:style w:type="paragraph" w:styleId="23" w:customStyle="1">
    <w:name w:val="Стиль2"/>
    <w:basedOn w:val="Normal"/>
    <w:link w:val="2"/>
    <w:uiPriority w:val="99"/>
    <w:qFormat/>
    <w:rsid w:val="002203a4"/>
    <w:pPr>
      <w:spacing w:lineRule="auto" w:line="240" w:before="240" w:after="120"/>
      <w:jc w:val="center"/>
      <w:outlineLvl w:val="0"/>
    </w:pPr>
    <w:rPr>
      <w:rFonts w:ascii="Times New Roman" w:hAnsi="Times New Roman" w:eastAsia="Calibri" w:cs="Times New Roman"/>
      <w:b/>
      <w:i/>
      <w:sz w:val="24"/>
      <w:szCs w:val="20"/>
    </w:rPr>
  </w:style>
  <w:style w:type="paragraph" w:styleId="Style26" w:customStyle="1">
    <w:name w:val="Заголовок статьи"/>
    <w:basedOn w:val="Normal"/>
    <w:next w:val="Normal"/>
    <w:uiPriority w:val="99"/>
    <w:qFormat/>
    <w:rsid w:val="00705f2c"/>
    <w:pPr>
      <w:spacing w:lineRule="auto" w:line="240" w:before="0" w:after="0"/>
      <w:ind w:hanging="892" w:left="1612"/>
      <w:jc w:val="both"/>
    </w:pPr>
    <w:rPr>
      <w:rFonts w:ascii="Arial" w:hAnsi="Arial" w:eastAsia="Times New Roman" w:cs="Arial"/>
      <w:sz w:val="24"/>
      <w:szCs w:val="24"/>
    </w:rPr>
  </w:style>
  <w:style w:type="paragraph" w:styleId="Subtitle">
    <w:name w:val="Subtitle"/>
    <w:basedOn w:val="Normal"/>
    <w:next w:val="BodyText"/>
    <w:link w:val="Style15"/>
    <w:qFormat/>
    <w:rsid w:val="00d33781"/>
    <w:pPr>
      <w:suppressAutoHyphens w:val="true"/>
      <w:spacing w:lineRule="auto" w:line="240" w:before="0" w:after="0"/>
      <w:ind w:right="-99"/>
      <w:jc w:val="center"/>
    </w:pPr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paragraph" w:styleId="BodyTextIndent">
    <w:name w:val="Body Text Indent"/>
    <w:basedOn w:val="Normal"/>
    <w:link w:val="Style16"/>
    <w:rsid w:val="00d33781"/>
    <w:pPr>
      <w:spacing w:lineRule="auto" w:line="240" w:before="0" w:after="120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Default" w:customStyle="1">
    <w:name w:val="default"/>
    <w:basedOn w:val="Normal"/>
    <w:qFormat/>
    <w:rsid w:val="00ec24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andard" w:customStyle="1">
    <w:name w:val="Standard"/>
    <w:qFormat/>
    <w:rsid w:val="00d34bab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Textbodyindent" w:customStyle="1">
    <w:name w:val="Text body indent"/>
    <w:basedOn w:val="Standard"/>
    <w:qFormat/>
    <w:rsid w:val="004072d6"/>
    <w:pPr>
      <w:widowControl w:val="false"/>
      <w:spacing w:before="0" w:after="120"/>
      <w:ind w:left="283"/>
    </w:pPr>
    <w:rPr>
      <w:sz w:val="20"/>
      <w:szCs w:val="20"/>
    </w:rPr>
  </w:style>
  <w:style w:type="paragraph" w:styleId="Textbody" w:customStyle="1">
    <w:name w:val="Text body"/>
    <w:basedOn w:val="Standard"/>
    <w:qFormat/>
    <w:rsid w:val="0019500b"/>
    <w:pPr>
      <w:widowControl w:val="false"/>
      <w:spacing w:before="0" w:after="120"/>
    </w:pPr>
    <w:rPr>
      <w:sz w:val="20"/>
      <w:szCs w:val="20"/>
    </w:rPr>
  </w:style>
  <w:style w:type="paragraph" w:styleId="BodyText2">
    <w:name w:val="Body Text 2"/>
    <w:basedOn w:val="Normal"/>
    <w:link w:val="21"/>
    <w:uiPriority w:val="99"/>
    <w:semiHidden/>
    <w:unhideWhenUsed/>
    <w:qFormat/>
    <w:rsid w:val="00a309ef"/>
    <w:pPr>
      <w:spacing w:lineRule="auto" w:line="480" w:before="0" w:after="120"/>
    </w:pPr>
    <w:rPr/>
  </w:style>
  <w:style w:type="paragraph" w:styleId="S1" w:customStyle="1">
    <w:name w:val="s_1"/>
    <w:basedOn w:val="Normal"/>
    <w:qFormat/>
    <w:rsid w:val="00bc26c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24" w:customStyle="1">
    <w:name w:val="Основной текст2"/>
    <w:basedOn w:val="Normal"/>
    <w:link w:val="Style20"/>
    <w:qFormat/>
    <w:rsid w:val="00253527"/>
    <w:pPr>
      <w:widowControl w:val="false"/>
      <w:shd w:val="clear" w:color="auto" w:fill="FFFFFF"/>
      <w:spacing w:lineRule="exact" w:line="355" w:before="0" w:after="0"/>
      <w:jc w:val="center"/>
    </w:pPr>
    <w:rPr>
      <w:b/>
      <w:bCs/>
      <w:spacing w:val="4"/>
    </w:rPr>
  </w:style>
  <w:style w:type="paragraph" w:styleId="Style27" w:customStyle="1">
    <w:name w:val="Комментарий"/>
    <w:basedOn w:val="Normal"/>
    <w:next w:val="Normal"/>
    <w:uiPriority w:val="99"/>
    <w:qFormat/>
    <w:rsid w:val="003b7a7a"/>
    <w:pPr>
      <w:spacing w:lineRule="auto" w:line="240" w:before="75" w:after="0"/>
      <w:ind w:left="170"/>
      <w:jc w:val="both"/>
    </w:pPr>
    <w:rPr>
      <w:rFonts w:ascii="Arial" w:hAnsi="Arial" w:cs="Arial"/>
      <w:color w:val="353842"/>
      <w:sz w:val="24"/>
      <w:szCs w:val="24"/>
      <w:shd w:fill="F0F0F0" w:val="clear"/>
    </w:rPr>
  </w:style>
  <w:style w:type="paragraph" w:styleId="ConsNormal" w:customStyle="1">
    <w:name w:val="ConsNormal"/>
    <w:qFormat/>
    <w:rsid w:val="00b969ba"/>
    <w:pPr>
      <w:widowControl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13" w:customStyle="1">
    <w:name w:val="Основной текст1"/>
    <w:basedOn w:val="Normal"/>
    <w:qFormat/>
    <w:rsid w:val="00397b1f"/>
    <w:pPr>
      <w:spacing w:lineRule="auto" w:line="240" w:before="0" w:after="120"/>
    </w:pPr>
    <w:rPr>
      <w:rFonts w:ascii="Times New Roman" w:hAnsi="Times New Roman" w:eastAsia="Times New Roman" w:cs="Times New Roman"/>
      <w:sz w:val="20"/>
      <w:szCs w:val="20"/>
    </w:rPr>
  </w:style>
  <w:style w:type="paragraph" w:styleId="Msonormalbullet1gif" w:customStyle="1">
    <w:name w:val="msonormalbullet1.gif"/>
    <w:basedOn w:val="Normal"/>
    <w:qFormat/>
    <w:rsid w:val="0022467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qFormat/>
    <w:rsid w:val="00cc3ab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25" w:customStyle="1">
    <w:name w:val="Обычный2"/>
    <w:qFormat/>
    <w:rsid w:val="00dd7174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andard1">
    <w:name w:val="Standard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/proverkaksp.ru" TargetMode="External"/><Relationship Id="rId4" Type="http://schemas.openxmlformats.org/officeDocument/2006/relationships/hyperlink" Target="http://zakupki.gov.ru/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BBEA-20EB-436C-ABED-A34FEE28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4398</TotalTime>
  <Application>LibreOffice/7.6.0.3$Linux_X86_64 LibreOffice_project/60$Build-3</Application>
  <AppVersion>15.0000</AppVersion>
  <Pages>9</Pages>
  <Words>3333</Words>
  <Characters>23855</Characters>
  <CharactersWithSpaces>27302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2024-02-05T07:31:00Z</dcterms:created>
  <dc:creator>Морозова</dc:creator>
  <dc:description/>
  <dc:language>ru-RU</dc:language>
  <cp:lastModifiedBy/>
  <cp:lastPrinted>2025-03-20T08:42:05Z</cp:lastPrinted>
  <dcterms:modified xsi:type="dcterms:W3CDTF">2026-03-31T09:02:19Z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