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827"/>
      </w:tblGrid>
      <w:tr>
        <w:trPr>
          <w:cantSplit w:val="true"/>
        </w:trPr>
        <w:tc>
          <w:tcPr>
            <w:tcW w:w="9827" w:type="dxa"/>
            <w:tcBorders/>
          </w:tcPr>
          <w:p>
            <w:pPr>
              <w:pStyle w:val="1"/>
              <w:jc w:val="center"/>
              <w:rPr/>
            </w:pPr>
            <w:r>
              <w:rPr/>
              <w:t xml:space="preserve"> </w:t>
            </w:r>
            <w:r>
              <w:rPr/>
              <w:drawing>
                <wp:inline distT="0" distB="0" distL="0" distR="0">
                  <wp:extent cx="498475" cy="635000"/>
                  <wp:effectExtent l="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3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401" w:hRule="atLeast"/>
          <w:cantSplit w:val="true"/>
        </w:trPr>
        <w:tc>
          <w:tcPr>
            <w:tcW w:w="9827" w:type="dxa"/>
            <w:tcBorders/>
          </w:tcPr>
          <w:p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7" w:type="dxa"/>
            <w:tcBorders>
              <w:bottom w:val="thinThickSmallGap" w:sz="18" w:space="0" w:color="000000"/>
            </w:tcBorders>
          </w:tcPr>
          <w:p>
            <w:pPr>
              <w:pStyle w:val="1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Ленинского муниципального района  Волгоградской области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>
              <w:rPr>
                <w:rFonts w:ascii="Cambria" w:hAnsi="Cambria"/>
                <w:b/>
                <w:sz w:val="18"/>
                <w:szCs w:val="18"/>
              </w:rPr>
              <w:t>ИНН 3415000099 КПП 341501001 ОГРН 1103454000561</w:t>
            </w:r>
          </w:p>
          <w:p>
            <w:pPr>
              <w:pStyle w:val="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404620, Волгоградская область г.Ленинск ул. Ленина д.209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lang w:val="en-US"/>
              </w:rPr>
            </w:pPr>
            <w:r>
              <w:rPr>
                <w:sz w:val="16"/>
                <w:szCs w:val="16"/>
              </w:rPr>
              <w:t>тел</w:t>
            </w:r>
            <w:r>
              <w:rPr>
                <w:sz w:val="16"/>
                <w:szCs w:val="16"/>
                <w:lang w:val="en-US"/>
              </w:rPr>
              <w:t>. 8-84478-42747, e-mail: mololkina60@mail.ru</w:t>
            </w:r>
          </w:p>
        </w:tc>
      </w:tr>
    </w:tbl>
    <w:p>
      <w:pPr>
        <w:pStyle w:val="Normal"/>
        <w:widowControl w:val="false"/>
        <w:suppressAutoHyphens w:val="true"/>
        <w:bidi w:val="0"/>
        <w:spacing w:lineRule="exact" w:line="240" w:before="0" w:after="0"/>
        <w:ind w:hanging="0" w:left="0" w:right="0"/>
        <w:jc w:val="center"/>
        <w:rPr>
          <w:rFonts w:ascii="Times New Roman" w:hAnsi="Times New Roman" w:eastAsia="Times New Roman" w:cs="Times New Roman"/>
          <w:color w:val="3465A4"/>
          <w:spacing w:val="0"/>
          <w:sz w:val="24"/>
          <w:shd w:fill="auto" w:val="clear"/>
        </w:rPr>
      </w:pPr>
      <w:r>
        <w:rPr>
          <w:rFonts w:eastAsia="Times New Roman" w:cs="Times New Roman" w:ascii="Times New Roman" w:hAnsi="Times New Roman"/>
          <w:color w:val="3465A4"/>
          <w:spacing w:val="0"/>
          <w:sz w:val="24"/>
          <w:shd w:fill="auto" w:val="clear"/>
        </w:rPr>
      </w:r>
    </w:p>
    <w:p>
      <w:pPr>
        <w:pStyle w:val="Normal"/>
        <w:widowControl w:val="false"/>
        <w:suppressAutoHyphens w:val="true"/>
        <w:bidi w:val="0"/>
        <w:spacing w:lineRule="exact" w:line="240" w:before="0" w:after="0"/>
        <w:ind w:hanging="0" w:left="0" w:right="0"/>
        <w:jc w:val="center"/>
        <w:rPr>
          <w:rFonts w:ascii="Times New Roman" w:hAnsi="Times New Roman" w:eastAsia="Times New Roman" w:cs="Times New Roman"/>
          <w:color w:val="3465A4"/>
          <w:spacing w:val="0"/>
          <w:sz w:val="24"/>
          <w:shd w:fill="auto" w:val="clear"/>
        </w:rPr>
      </w:pPr>
      <w:r>
        <w:rPr>
          <w:rFonts w:eastAsia="Times New Roman" w:cs="Times New Roman" w:ascii="Times New Roman" w:hAnsi="Times New Roman"/>
          <w:color w:val="3465A4"/>
          <w:spacing w:val="0"/>
          <w:sz w:val="24"/>
          <w:shd w:fill="auto" w:val="clear"/>
        </w:rPr>
      </w:r>
    </w:p>
    <w:p>
      <w:pPr>
        <w:pStyle w:val="Normal"/>
        <w:widowControl w:val="false"/>
        <w:suppressAutoHyphens w:val="true"/>
        <w:bidi w:val="0"/>
        <w:spacing w:lineRule="exact" w:line="240" w:before="0" w:after="0"/>
        <w:ind w:hanging="0" w:left="0" w:right="0"/>
        <w:jc w:val="center"/>
        <w:rPr>
          <w:rFonts w:ascii="Times New Roman" w:hAnsi="Times New Roman" w:eastAsia="Times New Roman" w:cs="Times New Roman"/>
          <w:color w:val="3465A4"/>
          <w:spacing w:val="0"/>
          <w:sz w:val="24"/>
          <w:shd w:fill="auto" w:val="clear"/>
        </w:rPr>
      </w:pPr>
      <w:r>
        <w:rPr>
          <w:rFonts w:eastAsia="Times New Roman" w:cs="Times New Roman" w:ascii="Times New Roman" w:hAnsi="Times New Roman"/>
          <w:color w:val="3465A4"/>
          <w:spacing w:val="0"/>
          <w:sz w:val="24"/>
          <w:shd w:fill="auto" w:val="clear"/>
        </w:rPr>
      </w:r>
    </w:p>
    <w:p>
      <w:pPr>
        <w:pStyle w:val="Normal"/>
        <w:widowControl w:val="false"/>
        <w:suppressAutoHyphens w:val="true"/>
        <w:bidi w:val="0"/>
        <w:spacing w:lineRule="exact" w:line="240" w:before="0" w:after="0"/>
        <w:ind w:hanging="0" w:left="0" w:right="0"/>
        <w:jc w:val="center"/>
        <w:rPr>
          <w:color w:val="3465A4"/>
        </w:rPr>
      </w:pPr>
      <w:r>
        <w:rPr>
          <w:color w:val="3465A4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hanging="0" w:left="0" w:right="0"/>
        <w:contextualSpacing/>
        <w:jc w:val="center"/>
        <w:rPr>
          <w:color w:val="000000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4"/>
          <w:shd w:fill="auto" w:val="clear"/>
        </w:rPr>
        <w:t>Информация</w:t>
      </w:r>
      <w:r>
        <w:rPr>
          <w:rFonts w:eastAsia="Times New Roman" w:cs="Times New Roman" w:ascii="Times New Roman" w:hAnsi="Times New Roman"/>
          <w:b/>
          <w:color w:val="000000"/>
          <w:spacing w:val="0"/>
          <w:sz w:val="24"/>
          <w:shd w:fill="auto" w:val="clear"/>
        </w:rPr>
        <w:t xml:space="preserve"> </w:t>
      </w:r>
    </w:p>
    <w:p>
      <w:pPr>
        <w:pStyle w:val="Normal"/>
        <w:suppressAutoHyphens w:val="true"/>
        <w:bidi w:val="0"/>
        <w:spacing w:lineRule="auto" w:line="240" w:before="0" w:after="0"/>
        <w:ind w:hanging="0" w:left="0" w:right="0"/>
        <w:contextualSpacing/>
        <w:jc w:val="center"/>
        <w:rPr>
          <w:color w:val="000000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4"/>
          <w:shd w:fill="auto" w:val="clear"/>
        </w:rPr>
        <w:t>о</w:t>
      </w:r>
      <w:r>
        <w:rPr>
          <w:rFonts w:eastAsia="Times New Roman" w:cs="Times New Roman" w:ascii="Times New Roman" w:hAnsi="Times New Roman"/>
          <w:b/>
          <w:color w:val="000000"/>
          <w:spacing w:val="0"/>
          <w:sz w:val="24"/>
          <w:shd w:fill="auto" w:val="clear"/>
        </w:rPr>
        <w:t xml:space="preserve">  внешней проверк</w:t>
      </w:r>
      <w:r>
        <w:rPr>
          <w:rFonts w:eastAsia="Times New Roman" w:cs="Times New Roman" w:ascii="Times New Roman" w:hAnsi="Times New Roman"/>
          <w:b/>
          <w:color w:val="000000"/>
          <w:spacing w:val="0"/>
          <w:sz w:val="24"/>
          <w:shd w:fill="auto" w:val="clear"/>
        </w:rPr>
        <w:t>е</w:t>
      </w:r>
      <w:r>
        <w:rPr>
          <w:rFonts w:eastAsia="Times New Roman" w:cs="Times New Roman" w:ascii="Times New Roman" w:hAnsi="Times New Roman"/>
          <w:b/>
          <w:color w:val="000000"/>
          <w:spacing w:val="0"/>
          <w:sz w:val="24"/>
          <w:shd w:fill="auto" w:val="clear"/>
        </w:rPr>
        <w:t xml:space="preserve"> бюджетной отчетности и отдельных вопросов исполнения бюджета главного распорядителя  средств районного бюджета Отдела по культуре, молодежной политике, физической культуре и спорту администрации Ленинского муниципального района Волгоградской области за 2025 год. </w:t>
      </w:r>
    </w:p>
    <w:p>
      <w:pPr>
        <w:pStyle w:val="Normal"/>
        <w:suppressAutoHyphens w:val="true"/>
        <w:bidi w:val="0"/>
        <w:spacing w:lineRule="auto" w:line="240" w:before="0" w:after="0"/>
        <w:ind w:hanging="0" w:left="0" w:right="0"/>
        <w:contextualSpacing/>
        <w:jc w:val="center"/>
        <w:rPr>
          <w:rFonts w:ascii="Times New Roman" w:hAnsi="Times New Roman" w:eastAsia="Times New Roman" w:cs="Times New Roman"/>
          <w:b/>
          <w:color w:val="000000"/>
          <w:spacing w:val="0"/>
          <w:sz w:val="24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4"/>
          <w:shd w:fill="auto" w:val="clear"/>
        </w:rPr>
      </w:r>
    </w:p>
    <w:p>
      <w:pPr>
        <w:pStyle w:val="Normal"/>
        <w:suppressAutoHyphens w:val="true"/>
        <w:bidi w:val="0"/>
        <w:spacing w:lineRule="auto" w:line="240" w:before="0" w:after="0"/>
        <w:ind w:hanging="0" w:left="0" w:right="0"/>
        <w:contextualSpacing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4"/>
          <w:shd w:fill="auto" w:val="clear"/>
        </w:rPr>
        <w:tab/>
        <w:t xml:space="preserve">На основании статьи 264.4 Бюджетного Кодекса РФ, п.8.3. раздела 8 Положения о бюджетном  процессе в Ленинском муниципальном  районе Волгоградской области,  утвержденного решением Ленинской районной Думы от 16.06.2023г.  </w:t>
      </w:r>
      <w:r>
        <w:rPr>
          <w:rFonts w:eastAsia="Segoe UI Symbol" w:cs="Segoe UI Symbol" w:ascii="Segoe UI Symbol" w:hAnsi="Segoe UI Symbol"/>
          <w:color w:val="000000"/>
          <w:spacing w:val="0"/>
          <w:sz w:val="24"/>
          <w:shd w:fill="auto" w:val="clear"/>
        </w:rPr>
        <w:t>№</w:t>
      </w:r>
      <w:r>
        <w:rPr>
          <w:rFonts w:eastAsia="Times New Roman" w:cs="Times New Roman" w:ascii="Times New Roman" w:hAnsi="Times New Roman"/>
          <w:color w:val="000000"/>
          <w:spacing w:val="0"/>
          <w:sz w:val="24"/>
          <w:shd w:fill="auto" w:val="clear"/>
        </w:rPr>
        <w:t xml:space="preserve"> 8/31,  ст.8 Положения «О контрольно-счетной палате Ленинского муниципального района», утвержденного решением Ленинской районной Думы от 30.11.2021г. </w:t>
      </w:r>
      <w:r>
        <w:rPr>
          <w:rFonts w:eastAsia="Segoe UI Symbol" w:cs="Segoe UI Symbol" w:ascii="Segoe UI Symbol" w:hAnsi="Segoe UI Symbol"/>
          <w:color w:val="000000"/>
          <w:spacing w:val="0"/>
          <w:sz w:val="24"/>
          <w:shd w:fill="auto" w:val="clear"/>
        </w:rPr>
        <w:t>№</w:t>
      </w:r>
      <w:r>
        <w:rPr>
          <w:rFonts w:eastAsia="Times New Roman" w:cs="Times New Roman" w:ascii="Times New Roman" w:hAnsi="Times New Roman"/>
          <w:color w:val="000000"/>
          <w:spacing w:val="0"/>
          <w:sz w:val="24"/>
          <w:shd w:fill="auto" w:val="clear"/>
        </w:rPr>
        <w:t xml:space="preserve"> 20/63, Стандарта внешнего финансового контроля «Порядок  проведения комплекса проверок  исполнения бюджета и подготовки заключения на отчет об исполнении  бюджета муниципального образования», утвержденного распоряжением Контрольно-счетной палаты Ленинского муниципального района (далее – КСП) от 26.01.2015г. </w:t>
      </w:r>
      <w:r>
        <w:rPr>
          <w:rFonts w:eastAsia="Segoe UI Symbol" w:cs="Segoe UI Symbol" w:ascii="Segoe UI Symbol" w:hAnsi="Segoe UI Symbol"/>
          <w:color w:val="000000"/>
          <w:spacing w:val="0"/>
          <w:sz w:val="24"/>
          <w:shd w:fill="auto" w:val="clear"/>
        </w:rPr>
        <w:t>№</w:t>
      </w:r>
      <w:r>
        <w:rPr>
          <w:rFonts w:eastAsia="Times New Roman" w:cs="Times New Roman" w:ascii="Times New Roman" w:hAnsi="Times New Roman"/>
          <w:color w:val="000000"/>
          <w:spacing w:val="0"/>
          <w:sz w:val="24"/>
          <w:shd w:fill="auto" w:val="clear"/>
        </w:rPr>
        <w:t xml:space="preserve">1-р, плана работы на 2026 год и распоряжения КСП на проведение внешней проверки от 30.03.2026г. </w:t>
      </w:r>
      <w:r>
        <w:rPr>
          <w:rFonts w:eastAsia="Segoe UI Symbol" w:cs="Segoe UI Symbol" w:ascii="Segoe UI Symbol" w:hAnsi="Segoe UI Symbol"/>
          <w:color w:val="000000"/>
          <w:spacing w:val="0"/>
          <w:sz w:val="24"/>
          <w:shd w:fill="auto" w:val="clear"/>
        </w:rPr>
        <w:t>№</w:t>
      </w:r>
      <w:r>
        <w:rPr>
          <w:rFonts w:eastAsia="Times New Roman" w:cs="Times New Roman" w:ascii="Times New Roman" w:hAnsi="Times New Roman"/>
          <w:color w:val="000000"/>
          <w:spacing w:val="0"/>
          <w:sz w:val="24"/>
          <w:shd w:fill="auto" w:val="clear"/>
        </w:rPr>
        <w:t>11-р проведена внешняя проверка бюджетной отчетности и отдельных вопросов исполнения бюджета района главного распорядителя средств районного бюджета Отдела по культуре, молодежной политике, физической культуре и спорту администрации Ленинского муниципального района Волгоградской области (далее – Отдел по культуре) за 2025 год.</w:t>
      </w:r>
    </w:p>
    <w:p>
      <w:pPr>
        <w:pStyle w:val="Normal"/>
        <w:suppressAutoHyphens w:val="true"/>
        <w:bidi w:val="0"/>
        <w:spacing w:lineRule="auto" w:line="240" w:before="0" w:after="0"/>
        <w:ind w:hanging="0" w:left="0" w:right="0"/>
        <w:contextualSpacing/>
        <w:jc w:val="both"/>
        <w:rPr>
          <w:rFonts w:ascii="Times New Roman" w:hAnsi="Times New Roman" w:eastAsia="Times New Roman" w:cs="Times New Roman"/>
          <w:b/>
          <w:color w:val="000000"/>
          <w:spacing w:val="0"/>
          <w:sz w:val="24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4"/>
          <w:shd w:fill="auto" w:val="clear"/>
        </w:rPr>
        <w:tab/>
      </w:r>
      <w:r>
        <w:rPr>
          <w:rFonts w:eastAsia="Times New Roman" w:cs="Times New Roman" w:ascii="Times New Roman" w:hAnsi="Times New Roman"/>
          <w:b/>
          <w:color w:val="000000"/>
          <w:spacing w:val="0"/>
          <w:sz w:val="24"/>
          <w:shd w:fill="auto" w:val="clear"/>
        </w:rPr>
        <w:t>По результату проверки установлено следующее: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hanging="0" w:left="0" w:right="0"/>
        <w:contextualSpacing/>
        <w:jc w:val="center"/>
        <w:rPr>
          <w:color w:val="000000"/>
        </w:rPr>
      </w:pPr>
      <w:r>
        <w:rPr>
          <w:rFonts w:eastAsia="Times New Roman" w:cs="Times New Roman" w:ascii="Times New Roman" w:hAnsi="Times New Roman"/>
          <w:b/>
          <w:i/>
          <w:color w:val="000000"/>
          <w:spacing w:val="0"/>
          <w:sz w:val="24"/>
          <w:shd w:fill="auto" w:val="clear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hanging="0" w:left="0" w:right="0"/>
        <w:contextualSpacing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4"/>
          <w:shd w:fill="auto" w:val="clear"/>
        </w:rPr>
        <w:tab/>
      </w:r>
      <w:r>
        <w:rPr>
          <w:rFonts w:eastAsia="Times New Roman" w:cs="Times New Roman" w:ascii="Nimbus Roman" w:hAnsi="Nimbus Roman"/>
          <w:color w:val="000000"/>
          <w:spacing w:val="0"/>
          <w:sz w:val="24"/>
          <w:szCs w:val="24"/>
          <w:shd w:fill="auto" w:val="clear"/>
        </w:rPr>
        <w:t xml:space="preserve">1. Представленная к проверке Отделом по культуре бюджетная отчетность за 2025 год соответствует требованиям Инструкции </w:t>
      </w:r>
      <w:r>
        <w:rPr>
          <w:rFonts w:eastAsia="Segoe UI Symbol" w:cs="Segoe UI Symbol" w:ascii="Nimbus Roman" w:hAnsi="Nimbus Roman"/>
          <w:color w:val="000000"/>
          <w:spacing w:val="0"/>
          <w:sz w:val="24"/>
          <w:szCs w:val="24"/>
          <w:shd w:fill="auto" w:val="clear"/>
        </w:rPr>
        <w:t>№</w:t>
      </w:r>
      <w:r>
        <w:rPr>
          <w:rFonts w:eastAsia="Times New Roman" w:cs="Times New Roman" w:ascii="Nimbus Roman" w:hAnsi="Nimbus Roman"/>
          <w:color w:val="000000"/>
          <w:spacing w:val="0"/>
          <w:sz w:val="24"/>
          <w:szCs w:val="24"/>
          <w:shd w:fill="auto" w:val="clear"/>
        </w:rPr>
        <w:t xml:space="preserve">191н. </w:t>
      </w:r>
    </w:p>
    <w:p>
      <w:pPr>
        <w:pStyle w:val="Normal"/>
        <w:shd w:val="clear" w:fill="FFFFFF"/>
        <w:tabs>
          <w:tab w:val="clear" w:pos="709"/>
          <w:tab w:val="left" w:pos="5387" w:leader="none"/>
        </w:tabs>
        <w:spacing w:lineRule="auto" w:line="240" w:before="0" w:after="0"/>
        <w:ind w:hanging="0"/>
        <w:contextualSpacing/>
        <w:jc w:val="both"/>
        <w:rPr>
          <w:color w:val="000000"/>
        </w:rPr>
      </w:pPr>
      <w:r>
        <w:rPr>
          <w:rFonts w:eastAsia="Times New Roman" w:cs="Times New Roman" w:ascii="Nimbus Roman" w:hAnsi="Nimbus Roman"/>
          <w:i/>
          <w:color w:val="000000"/>
          <w:spacing w:val="0"/>
          <w:sz w:val="24"/>
          <w:szCs w:val="24"/>
          <w:shd w:fill="FFFFFF" w:val="clear"/>
        </w:rPr>
        <w:t xml:space="preserve">   </w:t>
      </w:r>
      <w:r>
        <w:rPr>
          <w:rFonts w:eastAsia="Nimbus Roman" w:cs="Nimbus Roman" w:ascii="Nimbus Roman" w:hAnsi="Nimbus Roman"/>
          <w:i/>
          <w:color w:val="000000"/>
          <w:spacing w:val="10"/>
          <w:sz w:val="24"/>
          <w:szCs w:val="24"/>
          <w:shd w:fill="FFFFFF" w:val="clear"/>
        </w:rPr>
        <w:t xml:space="preserve">  </w:t>
      </w:r>
      <w:r>
        <w:rPr>
          <w:rFonts w:eastAsia="Nimbus Roman" w:cs="Nimbus Roman" w:ascii="Nimbus Roman" w:hAnsi="Nimbus Roman"/>
          <w:i w:val="false"/>
          <w:iCs w:val="false"/>
          <w:color w:val="000000"/>
          <w:spacing w:val="10"/>
          <w:sz w:val="24"/>
          <w:szCs w:val="24"/>
          <w:shd w:fill="FFFFFF" w:val="clear"/>
        </w:rPr>
        <w:t>2</w:t>
      </w:r>
      <w:r>
        <w:rPr>
          <w:rFonts w:eastAsia="Times New Roman" w:cs="Times New Roman" w:ascii="Nimbus Roman" w:hAnsi="Nimbus Roman"/>
          <w:color w:val="000000"/>
          <w:spacing w:val="0"/>
          <w:sz w:val="24"/>
          <w:szCs w:val="24"/>
          <w:shd w:fill="auto" w:val="clear"/>
        </w:rPr>
        <w:t xml:space="preserve">. Согласно формы 0503169 «Сведения по дебиторской и кредиторской задолженности»  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pacing w:val="0"/>
          <w:sz w:val="24"/>
          <w:szCs w:val="24"/>
          <w:shd w:fill="auto" w:val="clear"/>
        </w:rPr>
        <w:t xml:space="preserve">дебиторская задолженность </w:t>
      </w:r>
      <w:r>
        <w:rPr>
          <w:rFonts w:eastAsia="Times New Roman" w:cs="Times New Roman" w:ascii="Nimbus Roman" w:hAnsi="Nimbus Roman"/>
          <w:color w:val="000000"/>
          <w:spacing w:val="0"/>
          <w:sz w:val="24"/>
          <w:szCs w:val="24"/>
          <w:shd w:fill="auto" w:val="clear"/>
        </w:rPr>
        <w:t>на конец отчетного периода уменьшилась по сравнению с задолженностью на начало отчетного периода на 352,91 тыс. руб. или почти на 50,0% и составила 179,67 тыс. руб., просроченной дебиторской задолженности не числится.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hanging="0" w:left="0" w:right="0"/>
        <w:contextualSpacing/>
        <w:jc w:val="both"/>
        <w:rPr>
          <w:color w:val="000000"/>
        </w:rPr>
      </w:pPr>
      <w:r>
        <w:rPr>
          <w:rFonts w:eastAsia="Times New Roman" w:cs="Times New Roman" w:ascii="Nimbus Roman" w:hAnsi="Nimbus Roman"/>
          <w:b w:val="false"/>
          <w:bCs w:val="false"/>
          <w:color w:val="000000"/>
          <w:spacing w:val="0"/>
          <w:sz w:val="24"/>
          <w:szCs w:val="24"/>
          <w:shd w:fill="auto" w:val="clear"/>
        </w:rPr>
        <w:t xml:space="preserve">Кредиторская задолженность, </w:t>
      </w:r>
      <w:r>
        <w:rPr>
          <w:rFonts w:eastAsia="Times New Roman" w:cs="Times New Roman" w:ascii="Nimbus Roman" w:hAnsi="Nimbus Roman"/>
          <w:color w:val="000000"/>
          <w:spacing w:val="0"/>
          <w:sz w:val="24"/>
          <w:szCs w:val="24"/>
          <w:shd w:fill="auto" w:val="clear"/>
        </w:rPr>
        <w:t>на конец отчетного периода отсутствует.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hanging="0" w:left="0" w:right="0"/>
        <w:contextualSpacing/>
        <w:jc w:val="both"/>
        <w:rPr>
          <w:color w:val="000000"/>
        </w:rPr>
      </w:pPr>
      <w:r>
        <w:rPr>
          <w:rFonts w:eastAsia="Times New Roman" w:cs="Times New Roman" w:ascii="Nimbus Roman" w:hAnsi="Nimbus Roman"/>
          <w:color w:val="000000"/>
          <w:spacing w:val="0"/>
          <w:sz w:val="24"/>
          <w:szCs w:val="24"/>
          <w:shd w:fill="auto" w:val="clear"/>
        </w:rPr>
        <w:tab/>
        <w:t>3. По данным бюджетной отчетности доходы, администрируемые Отделом по культуре, при плане 21486,24 тыс. руб., исполнены в объеме  21226,02 тыс. руб. или  на 98,79%.</w:t>
      </w:r>
    </w:p>
    <w:p>
      <w:pPr>
        <w:pStyle w:val="Normal"/>
        <w:spacing w:lineRule="auto" w:line="240" w:before="0" w:after="0"/>
        <w:ind w:hanging="0" w:right="0"/>
        <w:contextualSpacing/>
        <w:jc w:val="both"/>
        <w:rPr>
          <w:color w:val="000000"/>
        </w:rPr>
      </w:pPr>
      <w:r>
        <w:rPr>
          <w:rFonts w:ascii="Nimbus Roman" w:hAnsi="Nimbus Roman"/>
          <w:color w:val="000000"/>
          <w:sz w:val="24"/>
          <w:szCs w:val="24"/>
        </w:rPr>
        <w:tab/>
        <w:t>В ходе анализа исполнения доходной части установлено, что собственные доходы</w:t>
      </w:r>
      <w:r>
        <w:rPr>
          <w:rFonts w:ascii="Nimbus Roman" w:hAnsi="Nimbus Roman"/>
          <w:bCs/>
          <w:iCs/>
          <w:color w:val="000000"/>
          <w:sz w:val="24"/>
          <w:szCs w:val="24"/>
        </w:rPr>
        <w:t xml:space="preserve"> в 2025 году</w:t>
      </w:r>
      <w:r>
        <w:rPr>
          <w:rFonts w:ascii="Nimbus Roman" w:hAnsi="Nimbus Roman"/>
          <w:color w:val="000000"/>
          <w:sz w:val="24"/>
          <w:szCs w:val="24"/>
        </w:rPr>
        <w:t xml:space="preserve"> при плане 60,0 </w:t>
      </w:r>
      <w:r>
        <w:rPr>
          <w:rFonts w:ascii="Nimbus Roman" w:hAnsi="Nimbus Roman"/>
          <w:bCs/>
          <w:color w:val="000000"/>
          <w:sz w:val="24"/>
          <w:szCs w:val="24"/>
        </w:rPr>
        <w:t>тыс. руб.</w:t>
      </w:r>
      <w:r>
        <w:rPr>
          <w:rFonts w:ascii="Nimbus Roman" w:hAnsi="Nimbus Roman"/>
          <w:color w:val="000000"/>
          <w:sz w:val="24"/>
          <w:szCs w:val="24"/>
        </w:rPr>
        <w:t xml:space="preserve"> поступили в сумме  60,0 тыс. руб., что составляет 100,0 % от утвержденного плана. </w:t>
      </w:r>
    </w:p>
    <w:p>
      <w:pPr>
        <w:pStyle w:val="Normal"/>
        <w:spacing w:lineRule="auto" w:line="240" w:before="0" w:after="0"/>
        <w:ind w:hanging="0" w:right="0"/>
        <w:contextualSpacing/>
        <w:jc w:val="both"/>
        <w:rPr>
          <w:color w:val="000000"/>
        </w:rPr>
      </w:pPr>
      <w:r>
        <w:rPr>
          <w:rFonts w:eastAsia="Times New Roman" w:cs="Times New Roman" w:ascii="Nimbus Roman" w:hAnsi="Nimbus Roman"/>
          <w:color w:val="000000"/>
          <w:spacing w:val="0"/>
          <w:sz w:val="24"/>
          <w:szCs w:val="24"/>
          <w:shd w:fill="auto" w:val="clear"/>
        </w:rPr>
        <w:tab/>
        <w:t xml:space="preserve">Безвозмездные поступления в 2025 году при плане 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pacing w:val="0"/>
          <w:sz w:val="24"/>
          <w:szCs w:val="24"/>
          <w:shd w:fill="auto" w:val="clear"/>
        </w:rPr>
        <w:t xml:space="preserve">21426,24 </w:t>
      </w:r>
      <w:r>
        <w:rPr>
          <w:rFonts w:eastAsia="Times New Roman" w:cs="Times New Roman" w:ascii="Nimbus Roman" w:hAnsi="Nimbus Roman"/>
          <w:color w:val="000000"/>
          <w:spacing w:val="0"/>
          <w:sz w:val="24"/>
          <w:szCs w:val="24"/>
          <w:shd w:fill="auto" w:val="clear"/>
        </w:rPr>
        <w:t xml:space="preserve">тыс. руб. поступили в объеме 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pacing w:val="0"/>
          <w:sz w:val="24"/>
          <w:szCs w:val="24"/>
          <w:shd w:fill="auto" w:val="clear"/>
        </w:rPr>
        <w:t xml:space="preserve">21166,02 </w:t>
      </w:r>
      <w:r>
        <w:rPr>
          <w:rFonts w:eastAsia="Times New Roman" w:cs="Times New Roman" w:ascii="Nimbus Roman" w:hAnsi="Nimbus Roman"/>
          <w:color w:val="000000"/>
          <w:spacing w:val="0"/>
          <w:sz w:val="24"/>
          <w:szCs w:val="24"/>
          <w:shd w:fill="auto" w:val="clear"/>
        </w:rPr>
        <w:t>тыс. руб. или 98,79 % от утвержденного плана, невыполнение на 1,21 % или на 260,22</w:t>
      </w:r>
      <w:r>
        <w:rPr>
          <w:rFonts w:eastAsia="Times New Roman" w:cs="Times New Roman" w:ascii="Nimbus Roman" w:hAnsi="Nimbus Roman"/>
          <w:b/>
          <w:color w:val="000000"/>
          <w:spacing w:val="0"/>
          <w:sz w:val="24"/>
          <w:szCs w:val="24"/>
          <w:shd w:fill="auto" w:val="clear"/>
        </w:rPr>
        <w:t xml:space="preserve"> </w:t>
      </w:r>
      <w:r>
        <w:rPr>
          <w:rFonts w:eastAsia="Times New Roman" w:cs="Times New Roman" w:ascii="Nimbus Roman" w:hAnsi="Nimbus Roman"/>
          <w:color w:val="000000"/>
          <w:spacing w:val="0"/>
          <w:sz w:val="24"/>
          <w:szCs w:val="24"/>
          <w:shd w:fill="auto" w:val="clear"/>
        </w:rPr>
        <w:t xml:space="preserve"> тыс. руб. сложилось в основном в результате не поступления в полном объеме с областного бюджета субвенции бюджетам муниципальных районов на выполнение передаваемых полномочий субъектов РФ в сумме 239,32 тыс. руб. </w:t>
      </w:r>
    </w:p>
    <w:p>
      <w:pPr>
        <w:pStyle w:val="Normal"/>
        <w:widowControl w:val="false"/>
        <w:tabs>
          <w:tab w:val="left" w:pos="708" w:leader="none"/>
          <w:tab w:val="left" w:pos="709" w:leader="none"/>
        </w:tabs>
        <w:suppressAutoHyphens w:val="true"/>
        <w:bidi w:val="0"/>
        <w:spacing w:lineRule="auto" w:line="240" w:before="0" w:after="0"/>
        <w:ind w:hanging="0" w:left="0" w:right="0"/>
        <w:contextualSpacing/>
        <w:jc w:val="both"/>
        <w:rPr>
          <w:color w:val="000000"/>
        </w:rPr>
      </w:pPr>
      <w:r>
        <w:rPr>
          <w:rFonts w:eastAsia="Times New Roman" w:cs="Times New Roman" w:ascii="Nimbus Roman" w:hAnsi="Nimbus Roman"/>
          <w:color w:val="000000"/>
          <w:spacing w:val="0"/>
          <w:sz w:val="24"/>
          <w:szCs w:val="24"/>
          <w:shd w:fill="auto" w:val="clear"/>
        </w:rPr>
        <w:t xml:space="preserve"> </w:t>
      </w:r>
      <w:r>
        <w:rPr>
          <w:rFonts w:eastAsia="Times New Roman" w:cs="Times New Roman" w:ascii="Nimbus Roman" w:hAnsi="Nimbus Roman"/>
          <w:color w:val="000000"/>
          <w:spacing w:val="0"/>
          <w:sz w:val="24"/>
          <w:szCs w:val="24"/>
          <w:shd w:fill="auto" w:val="clear"/>
        </w:rPr>
        <w:tab/>
        <w:t>4. По данным бюджетной отчетности Отдела по культуре утверждено бюджетных назначений на 2025 год в объеме 51690,89 тыс. руб., лимиты бюджетных обязательств доведены в размере 51582,95 тыс. руб., кассовое исполнение бюджетных назначений составило 50770,28 тыс. руб. или 98,2%  от утвержденных бюджетных назначений.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hanging="0" w:left="0" w:right="0"/>
        <w:contextualSpacing/>
        <w:jc w:val="both"/>
        <w:rPr>
          <w:color w:val="000000"/>
        </w:rPr>
      </w:pPr>
      <w:r>
        <w:rPr>
          <w:rFonts w:eastAsia="Times New Roman" w:cs="Times New Roman" w:ascii="Nimbus Roman" w:hAnsi="Nimbus Roman"/>
          <w:color w:val="000000"/>
          <w:spacing w:val="0"/>
          <w:sz w:val="24"/>
          <w:szCs w:val="24"/>
          <w:shd w:fill="auto" w:val="clear"/>
        </w:rPr>
        <w:t>Не освоены бюджетные ассигнования в объеме  920,61 тыс. руб., что составляет 1,8% от общих расходов. В основном п</w:t>
      </w:r>
      <w:r>
        <w:rPr>
          <w:rFonts w:eastAsia="Times New Roman" w:cs="Times New Roman" w:ascii="Nimbus Roman" w:hAnsi="Nimbus Roman"/>
          <w:color w:val="000000"/>
          <w:spacing w:val="0"/>
          <w:sz w:val="24"/>
          <w:szCs w:val="24"/>
          <w:shd w:fill="FFFFFF" w:val="clear"/>
        </w:rPr>
        <w:t>ричинами неисполнения бюджетных средств стало: экономия от проведения закупок по местным инициативам на сумму 410,0 тыс. руб., не реализована программа «Увековечивание памяти погибших при защите погибших» на 24,8 тыс. руб. и на сумму 214,52 тыс. руб. запланировано мер социальной поддержки по оплате жилья и коммунальных услуг специалистам учреждений культуры, работающим и проживающим в сельской местности  больше, чем фактически начислено.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hanging="0" w:left="0" w:right="0"/>
        <w:contextualSpacing/>
        <w:jc w:val="both"/>
        <w:rPr>
          <w:color w:val="000000"/>
        </w:rPr>
      </w:pPr>
      <w:r>
        <w:rPr>
          <w:rFonts w:eastAsia="Times New Roman" w:cs="Times New Roman" w:ascii="Nimbus Roman" w:hAnsi="Nimbus Roman"/>
          <w:color w:val="000000"/>
          <w:spacing w:val="0"/>
          <w:sz w:val="24"/>
          <w:szCs w:val="24"/>
          <w:shd w:fill="auto" w:val="clear"/>
        </w:rPr>
        <w:tab/>
        <w:t xml:space="preserve">5. Бюджетные ассигнования на реализацию 11 муниципальных программ при плане 49112,53 тыс. руб. составили  48203,06 тыс. руб. или 98,15 % от утвержденных назначений. Не исполнено бюджетных назначений по 7 муниципальным программам на сумму 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pacing w:val="0"/>
          <w:sz w:val="24"/>
          <w:szCs w:val="24"/>
          <w:shd w:fill="auto" w:val="clear"/>
        </w:rPr>
        <w:t xml:space="preserve">909,47 тыс. руб., </w:t>
      </w:r>
      <w:r>
        <w:rPr>
          <w:rFonts w:ascii="Nimbus Roman" w:hAnsi="Nimbus Roman"/>
          <w:color w:val="000000"/>
          <w:sz w:val="24"/>
          <w:szCs w:val="24"/>
        </w:rPr>
        <w:t xml:space="preserve">по 4 программам исполнение составило 100,0% или около 100,0% (более 99,0%).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spacing w:lineRule="auto" w:line="240" w:before="0" w:after="0"/>
        <w:ind w:hanging="0"/>
        <w:contextualSpacing/>
        <w:rPr>
          <w:color w:val="000000"/>
        </w:rPr>
      </w:pPr>
      <w:r>
        <w:rPr>
          <w:rFonts w:eastAsia="Times New Roman" w:cs="Times New Roman" w:ascii="Nimbus Roman" w:hAnsi="Nimbus Roman"/>
          <w:b w:val="false"/>
          <w:bCs w:val="false"/>
          <w:color w:val="000000"/>
          <w:spacing w:val="0"/>
          <w:sz w:val="24"/>
          <w:szCs w:val="24"/>
          <w:shd w:fill="auto" w:val="clear"/>
        </w:rPr>
        <w:tab/>
        <w:t xml:space="preserve">6. </w:t>
      </w:r>
      <w:r>
        <w:rPr>
          <w:rFonts w:eastAsia="Times New Roman" w:cs="Nimbus Roman" w:ascii="Nimbus Roman" w:hAnsi="Nimbus Roman"/>
          <w:b w:val="false"/>
          <w:bCs w:val="false"/>
          <w:color w:val="000000"/>
          <w:spacing w:val="0"/>
          <w:sz w:val="24"/>
          <w:szCs w:val="24"/>
          <w:shd w:fill="auto" w:val="clear"/>
        </w:rPr>
        <w:t>Выборочной проверкой  по составлению и ведению бюджетных росписей</w:t>
      </w:r>
      <w:r>
        <w:rPr>
          <w:rFonts w:eastAsia="Times New Roman" w:cs="Nimbus Roman" w:ascii="Nimbus Roman" w:hAnsi="Nimbus Roman"/>
          <w:b w:val="false"/>
          <w:bCs w:val="false"/>
          <w:color w:val="000000"/>
          <w:spacing w:val="0"/>
          <w:sz w:val="24"/>
          <w:szCs w:val="24"/>
          <w:shd w:fill="auto" w:val="clear"/>
          <w:lang w:val="ru-RU"/>
        </w:rPr>
        <w:t>, бюджетных смет, реестра расходных обязательств нарушений</w:t>
      </w:r>
      <w:r>
        <w:rPr>
          <w:rFonts w:eastAsia="Times New Roman" w:cs="Nimbus Roman" w:ascii="Nimbus Roman" w:hAnsi="Nimbus Roman"/>
          <w:b w:val="false"/>
          <w:bCs w:val="false"/>
          <w:color w:val="000000"/>
          <w:spacing w:val="0"/>
          <w:sz w:val="24"/>
          <w:szCs w:val="24"/>
          <w:shd w:fill="auto" w:val="clear"/>
        </w:rPr>
        <w:t xml:space="preserve"> не установлено.</w:t>
      </w:r>
    </w:p>
    <w:p>
      <w:pPr>
        <w:pStyle w:val="Normal"/>
        <w:spacing w:lineRule="auto" w:line="240" w:before="0" w:after="0"/>
        <w:ind w:hanging="0"/>
        <w:contextualSpacing/>
        <w:jc w:val="both"/>
        <w:rPr/>
      </w:pPr>
      <w:r>
        <w:rPr>
          <w:rStyle w:val="S12"/>
          <w:rFonts w:eastAsia="Times New Roman" w:cs="Nimbus Roman" w:ascii="Nimbus Roman" w:hAnsi="Nimbus Roman"/>
          <w:b w:val="false"/>
          <w:bCs w:val="false"/>
          <w:i w:val="false"/>
          <w:iCs w:val="false"/>
          <w:color w:val="000000"/>
          <w:spacing w:val="0"/>
          <w:sz w:val="24"/>
          <w:szCs w:val="24"/>
          <w:shd w:fill="auto" w:val="clear"/>
        </w:rPr>
        <w:tab/>
        <w:t xml:space="preserve">7. Выборочной проверкой расчетов по заработной плате с работниками Отдела по культуре </w:t>
      </w:r>
      <w:r>
        <w:rPr>
          <w:rStyle w:val="S12"/>
          <w:rFonts w:eastAsia="Times New Roman" w:cs="Nimbus Roman" w:ascii="Nimbus Roman" w:hAnsi="Nimbus Roman"/>
          <w:b w:val="false"/>
          <w:bCs/>
          <w:i w:val="false"/>
          <w:iCs w:val="false"/>
          <w:color w:val="000000"/>
          <w:spacing w:val="0"/>
          <w:sz w:val="24"/>
          <w:szCs w:val="24"/>
          <w:shd w:fill="auto" w:val="clear"/>
          <w:lang w:eastAsia="ru-RU"/>
        </w:rPr>
        <w:t xml:space="preserve">нарушений не </w:t>
      </w:r>
      <w:r>
        <w:rPr>
          <w:rStyle w:val="S12"/>
          <w:rFonts w:eastAsia="Times New Roman" w:cs="Nimbus Roman" w:ascii="Nimbus Roman" w:hAnsi="Nimbus Roman"/>
          <w:b w:val="false"/>
          <w:bCs w:val="false"/>
          <w:i w:val="false"/>
          <w:iCs w:val="false"/>
          <w:color w:val="000000"/>
          <w:spacing w:val="0"/>
          <w:sz w:val="24"/>
          <w:szCs w:val="24"/>
          <w:shd w:fill="auto" w:val="clear"/>
          <w:lang w:eastAsia="ru-RU"/>
        </w:rPr>
        <w:t>установлено.</w:t>
      </w:r>
    </w:p>
    <w:p>
      <w:pPr>
        <w:pStyle w:val="Normal"/>
        <w:widowControl w:val="false"/>
        <w:suppressAutoHyphens w:val="true"/>
        <w:bidi w:val="0"/>
        <w:spacing w:lineRule="exact" w:line="240" w:before="0" w:after="0"/>
        <w:ind w:firstLine="539" w:left="0" w:right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hanging="0" w:left="0" w:right="0"/>
        <w:contextualSpacing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4"/>
          <w:shd w:fill="auto" w:val="clear"/>
        </w:rPr>
        <w:tab/>
      </w:r>
      <w:r>
        <w:rPr>
          <w:rFonts w:eastAsia="Times New Roman" w:cs="Times New Roman" w:ascii="Times New Roman" w:hAnsi="Times New Roman"/>
          <w:b/>
          <w:bCs/>
          <w:color w:val="000000"/>
          <w:spacing w:val="0"/>
          <w:sz w:val="24"/>
          <w:shd w:fill="auto" w:val="clear"/>
        </w:rPr>
        <w:t>По результату проверки Отделу по культуре даны предложения по устранению установленных нарушений.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hanging="0" w:left="0" w:right="0"/>
        <w:contextualSpacing/>
        <w:jc w:val="both"/>
        <w:rPr>
          <w:color w:val="000000"/>
        </w:rPr>
      </w:pPr>
      <w:r>
        <w:rPr/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hanging="0" w:left="0" w:right="0"/>
        <w:contextualSpacing/>
        <w:jc w:val="both"/>
        <w:rPr>
          <w:rFonts w:ascii="Times New Roman" w:hAnsi="Times New Roman" w:eastAsia="Times New Roman" w:cs="Times New Roman"/>
          <w:b/>
          <w:color w:val="000000"/>
          <w:spacing w:val="0"/>
          <w:sz w:val="24"/>
          <w:u w:val="single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4"/>
          <w:u w:val="single"/>
          <w:shd w:fill="auto" w:val="clear"/>
        </w:rPr>
      </w:r>
    </w:p>
    <w:p>
      <w:pPr>
        <w:pStyle w:val="Normal"/>
        <w:widowControl w:val="false"/>
        <w:suppressAutoHyphens w:val="true"/>
        <w:bidi w:val="0"/>
        <w:spacing w:lineRule="exact" w:line="240" w:before="0" w:after="0"/>
        <w:ind w:firstLine="709" w:left="0" w:right="0"/>
        <w:jc w:val="both"/>
        <w:rPr>
          <w:rFonts w:ascii="Times New Roman" w:hAnsi="Times New Roman" w:eastAsia="Times New Roman" w:cs="Times New Roman"/>
          <w:b/>
          <w:color w:val="000000"/>
          <w:spacing w:val="0"/>
          <w:sz w:val="24"/>
          <w:u w:val="single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4"/>
          <w:u w:val="single"/>
          <w:shd w:fill="auto" w:val="clear"/>
        </w:rPr>
      </w:r>
    </w:p>
    <w:p>
      <w:pPr>
        <w:pStyle w:val="Normal"/>
        <w:widowControl w:val="false"/>
        <w:suppressAutoHyphens w:val="true"/>
        <w:bidi w:val="0"/>
        <w:spacing w:lineRule="exact" w:line="240" w:before="0" w:after="0"/>
        <w:ind w:firstLine="709" w:left="0" w:right="0"/>
        <w:jc w:val="both"/>
        <w:rPr>
          <w:rFonts w:ascii="Times New Roman" w:hAnsi="Times New Roman" w:eastAsia="Times New Roman" w:cs="Times New Roman"/>
          <w:b/>
          <w:color w:val="000000"/>
          <w:spacing w:val="0"/>
          <w:sz w:val="24"/>
          <w:u w:val="single"/>
          <w:shd w:fill="auto" w:val="clear"/>
        </w:rPr>
      </w:pPr>
      <w:r>
        <w:rPr>
          <w:rFonts w:eastAsia="Times New Roman" w:cs="Times New Roman" w:ascii="Times New Roman" w:hAnsi="Times New Roman"/>
          <w:b/>
          <w:color w:val="000000"/>
          <w:spacing w:val="0"/>
          <w:sz w:val="24"/>
          <w:u w:val="single"/>
          <w:shd w:fill="auto" w:val="clear"/>
        </w:rPr>
      </w:r>
    </w:p>
    <w:p>
      <w:pPr>
        <w:pStyle w:val="Normal"/>
        <w:widowControl w:val="false"/>
        <w:suppressAutoHyphens w:val="true"/>
        <w:bidi w:val="0"/>
        <w:spacing w:lineRule="exact" w:line="240" w:before="0" w:after="0"/>
        <w:ind w:hanging="0" w:left="0" w:right="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4"/>
          <w:shd w:fill="auto" w:val="clear"/>
        </w:rPr>
        <w:t xml:space="preserve">Председатель  Контрольно-счетной </w:t>
      </w:r>
    </w:p>
    <w:p>
      <w:pPr>
        <w:pStyle w:val="Normal"/>
        <w:widowControl w:val="false"/>
        <w:suppressAutoHyphens w:val="true"/>
        <w:bidi w:val="0"/>
        <w:spacing w:lineRule="exact" w:line="240" w:before="0" w:after="0"/>
        <w:ind w:hanging="0" w:left="0" w:right="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4"/>
          <w:shd w:fill="auto" w:val="clear"/>
        </w:rPr>
        <w:t xml:space="preserve">палаты Ленинского муниципального </w:t>
      </w:r>
    </w:p>
    <w:p>
      <w:pPr>
        <w:pStyle w:val="Normal"/>
        <w:widowControl w:val="false"/>
        <w:suppressAutoHyphens w:val="true"/>
        <w:bidi w:val="0"/>
        <w:spacing w:lineRule="exact" w:line="240" w:before="0" w:after="0"/>
        <w:ind w:hanging="0" w:left="0" w:right="0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4"/>
          <w:shd w:fill="auto" w:val="clear"/>
        </w:rPr>
        <w:t>района                                                                                                                         Т. В. Мололкина</w:t>
      </w:r>
    </w:p>
    <w:p>
      <w:pPr>
        <w:pStyle w:val="Normal"/>
        <w:widowControl w:val="false"/>
        <w:suppressAutoHyphens w:val="true"/>
        <w:bidi w:val="0"/>
        <w:spacing w:lineRule="exact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sz w:val="24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4"/>
          <w:shd w:fill="auto" w:val="clear"/>
        </w:rPr>
      </w:r>
    </w:p>
    <w:p>
      <w:pPr>
        <w:pStyle w:val="Normal"/>
        <w:widowControl w:val="false"/>
        <w:suppressAutoHyphens w:val="true"/>
        <w:bidi w:val="0"/>
        <w:spacing w:lineRule="exact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sz w:val="24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4"/>
          <w:shd w:fill="auto" w:val="clear"/>
        </w:rPr>
      </w:r>
    </w:p>
    <w:p>
      <w:pPr>
        <w:pStyle w:val="Normal"/>
        <w:widowControl w:val="false"/>
        <w:suppressAutoHyphens w:val="true"/>
        <w:bidi w:val="0"/>
        <w:spacing w:lineRule="exact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sz w:val="24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4"/>
          <w:shd w:fill="auto" w:val="clear"/>
        </w:rPr>
      </w:r>
    </w:p>
    <w:p>
      <w:pPr>
        <w:pStyle w:val="Normal"/>
        <w:widowControl w:val="false"/>
        <w:suppressAutoHyphens w:val="true"/>
        <w:bidi w:val="0"/>
        <w:spacing w:lineRule="exact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color w:val="000000"/>
          <w:spacing w:val="0"/>
          <w:sz w:val="24"/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pacing w:val="0"/>
          <w:sz w:val="24"/>
          <w:shd w:fill="auto" w:val="clear"/>
        </w:rPr>
      </w:r>
    </w:p>
    <w:sectPr>
      <w:footerReference w:type="default" r:id="rId3"/>
      <w:type w:val="nextPage"/>
      <w:pgSz w:w="11906" w:h="16838"/>
      <w:pgMar w:left="1304" w:right="567" w:gutter="0" w:header="0" w:top="567" w:footer="567" w:bottom="111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  <w:font w:name="Tempora LGC Uni"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Open Sans"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Segoe UI Symbol">
    <w:charset w:val="01"/>
    <w:family w:val="roman"/>
    <w:pitch w:val="variable"/>
  </w:font>
  <w:font w:name="Nimbus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0" w:name="PageNumWizard_FOOTER_Базовый3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bookmarkEnd w:id="0"/>
  </w:p>
</w:ftr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Droid Sans Fallback" w:cs="Lohit Devanagari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Droid Sans Fallback" w:cs="Lohit Devanagari"/>
      <w:color w:val="auto"/>
      <w:kern w:val="2"/>
      <w:sz w:val="22"/>
      <w:szCs w:val="24"/>
      <w:lang w:val="ru-RU" w:eastAsia="zh-CN" w:bidi="hi-IN"/>
    </w:rPr>
  </w:style>
  <w:style w:type="paragraph" w:styleId="Heading1">
    <w:name w:val="Heading 1"/>
    <w:basedOn w:val="Normal"/>
    <w:next w:val="Normal"/>
    <w:qFormat/>
    <w:pPr>
      <w:widowControl w:val="false"/>
      <w:spacing w:lineRule="auto" w:line="240" w:before="108" w:after="108"/>
      <w:jc w:val="center"/>
      <w:outlineLvl w:val="0"/>
    </w:pPr>
    <w:rPr>
      <w:rFonts w:ascii="Arial" w:hAnsi="Arial" w:eastAsia="Times New Roman" w:cs="Times New Roman"/>
      <w:b/>
      <w:bCs/>
      <w:color w:val="000080"/>
      <w:sz w:val="20"/>
      <w:szCs w:val="20"/>
    </w:rPr>
  </w:style>
  <w:style w:type="paragraph" w:styleId="Heading2">
    <w:name w:val="Heading 2"/>
    <w:basedOn w:val="Style12"/>
    <w:next w:val="BodyText"/>
    <w:qFormat/>
    <w:pPr>
      <w:spacing w:before="200" w:after="120"/>
      <w:outlineLvl w:val="1"/>
    </w:pPr>
    <w:rPr>
      <w:rFonts w:ascii="Tempora LGC Uni" w:hAnsi="Tempora LGC Uni" w:eastAsia="Droid Sans Fallback" w:cs="Lohit Devanagari"/>
      <w:b/>
      <w:bCs/>
      <w:sz w:val="36"/>
      <w:szCs w:val="36"/>
    </w:rPr>
  </w:style>
  <w:style w:type="paragraph" w:styleId="Heading3">
    <w:name w:val="Heading 3"/>
    <w:basedOn w:val="Style12"/>
    <w:next w:val="BodyText"/>
    <w:qFormat/>
    <w:pPr>
      <w:spacing w:before="140" w:after="120"/>
      <w:outlineLvl w:val="2"/>
    </w:pPr>
    <w:rPr>
      <w:rFonts w:ascii="Tempora LGC Uni" w:hAnsi="Tempora LGC Uni" w:eastAsia="Droid Sans Fallback" w:cs="Lohit Devanagari"/>
      <w:b/>
      <w:bCs/>
      <w:sz w:val="28"/>
      <w:szCs w:val="28"/>
    </w:rPr>
  </w:style>
  <w:style w:type="paragraph" w:styleId="Heading4">
    <w:name w:val="Heading 4"/>
    <w:basedOn w:val="Style12"/>
    <w:next w:val="BodyText"/>
    <w:qFormat/>
    <w:pPr>
      <w:spacing w:before="120" w:after="120"/>
      <w:outlineLvl w:val="3"/>
    </w:pPr>
    <w:rPr>
      <w:rFonts w:ascii="Tempora LGC Uni" w:hAnsi="Tempora LGC Uni" w:eastAsia="Droid Sans Fallback" w:cs="Lohit Devanagari"/>
      <w:b/>
      <w:bCs/>
      <w:sz w:val="24"/>
      <w:szCs w:val="24"/>
    </w:rPr>
  </w:style>
  <w:style w:type="character" w:styleId="Hyperlink">
    <w:name w:val="Hyperlink"/>
    <w:rPr>
      <w:color w:val="000080"/>
      <w:u w:val="single"/>
    </w:rPr>
  </w:style>
  <w:style w:type="character" w:styleId="S12">
    <w:name w:val="s12"/>
    <w:qFormat/>
    <w:rPr/>
  </w:style>
  <w:style w:type="character" w:styleId="Strong">
    <w:name w:val="Strong"/>
    <w:qFormat/>
    <w:rPr>
      <w:b/>
      <w:bCs/>
    </w:rPr>
  </w:style>
  <w:style w:type="character" w:styleId="Style10">
    <w:name w:val="Маркеры"/>
    <w:qFormat/>
    <w:rPr>
      <w:rFonts w:ascii="OpenSymbol" w:hAnsi="OpenSymbol" w:eastAsia="OpenSymbol" w:cs="OpenSymbol"/>
    </w:rPr>
  </w:style>
  <w:style w:type="character" w:styleId="Style11">
    <w:name w:val="Символ нумерации"/>
    <w:qFormat/>
    <w:rPr/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3">
    <w:name w:val="Указатель"/>
    <w:basedOn w:val="Normal"/>
    <w:qFormat/>
    <w:pPr>
      <w:suppressLineNumbers/>
    </w:pPr>
    <w:rPr>
      <w:rFonts w:cs="Lohit Devanagari"/>
    </w:rPr>
  </w:style>
  <w:style w:type="paragraph" w:styleId="Style14">
    <w:name w:val="Содержимое таблицы"/>
    <w:basedOn w:val="Normal"/>
    <w:qFormat/>
    <w:pPr>
      <w:widowControl w:val="false"/>
      <w:suppressLineNumbers/>
    </w:pPr>
    <w:rPr/>
  </w:style>
  <w:style w:type="paragraph" w:styleId="Style15">
    <w:name w:val="Заголовок таблицы"/>
    <w:basedOn w:val="Style14"/>
    <w:qFormat/>
    <w:pPr>
      <w:suppressLineNumbers/>
      <w:jc w:val="center"/>
    </w:pPr>
    <w:rPr>
      <w:b/>
      <w:bCs/>
    </w:rPr>
  </w:style>
  <w:style w:type="paragraph" w:styleId="1">
    <w:name w:val="Обычный1"/>
    <w:qFormat/>
    <w:pPr>
      <w:widowControl w:val="false"/>
      <w:suppressAutoHyphens w:val="true"/>
      <w:bidi w:val="0"/>
      <w:snapToGrid w:val="false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1">
    <w:name w:val="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Calibri" w:cs="Times New Roman" w:ascii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16">
    <w:name w:val="Колонтитул"/>
    <w:basedOn w:val="Normal"/>
    <w:qFormat/>
    <w:pPr>
      <w:suppressLineNumbers/>
      <w:tabs>
        <w:tab w:val="clear" w:pos="709"/>
        <w:tab w:val="center" w:pos="4904" w:leader="none"/>
        <w:tab w:val="right" w:pos="9808" w:leader="none"/>
      </w:tabs>
    </w:pPr>
    <w:rPr/>
  </w:style>
  <w:style w:type="paragraph" w:styleId="Footer">
    <w:name w:val="Footer"/>
    <w:basedOn w:val="Style16"/>
    <w:pPr>
      <w:suppressLineNumbers/>
    </w:pPr>
    <w:rPr/>
  </w:style>
  <w:style w:type="paragraph" w:styleId="Style17">
    <w:name w:val="Прижатый влево"/>
    <w:basedOn w:val="Normal"/>
    <w:next w:val="Normal"/>
    <w:qFormat/>
    <w:pPr>
      <w:spacing w:lineRule="auto" w:line="240" w:before="0" w:after="0"/>
    </w:pPr>
    <w:rPr>
      <w:rFonts w:ascii="Arial" w:hAnsi="Arial" w:cs="Arial"/>
      <w:sz w:val="24"/>
      <w:szCs w:val="24"/>
    </w:rPr>
  </w:style>
  <w:style w:type="paragraph" w:styleId="Style18">
    <w:name w:val="Без интервала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2"/>
      <w:sz w:val="22"/>
      <w:szCs w:val="22"/>
      <w:lang w:val="ru-RU" w:eastAsia="zh-CN" w:bidi="ar-SA"/>
    </w:rPr>
  </w:style>
  <w:style w:type="paragraph" w:styleId="EndnoteText">
    <w:name w:val="Endnote Text"/>
    <w:basedOn w:val="Normal"/>
    <w:pPr>
      <w:spacing w:lineRule="auto" w:line="240" w:before="0" w:after="0"/>
    </w:pPr>
    <w:rPr>
      <w:rFonts w:ascii="Times New Roman" w:hAnsi="Times New Roman" w:eastAsia="Calibri" w:cs="Times New Roman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2379</TotalTime>
  <Application>LibreOffice/7.6.7.2$Linux_X86_64 LibreOffice_project/60$Build-2</Application>
  <AppVersion>15.0000</AppVersion>
  <Pages>2</Pages>
  <Words>593</Words>
  <Characters>3985</Characters>
  <CharactersWithSpaces>7492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2025-04-18T09:04:52Z</cp:lastPrinted>
  <dcterms:modified xsi:type="dcterms:W3CDTF">2026-07-07T13:33:49Z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