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7"/>
      </w:tblGrid>
      <w:tr>
        <w:trPr>
          <w:cantSplit w:val="true"/>
        </w:trPr>
        <w:tc>
          <w:tcPr>
            <w:tcW w:w="9827" w:type="dxa"/>
            <w:tcBorders/>
          </w:tcPr>
          <w:p>
            <w:pPr>
              <w:pStyle w:val="1"/>
              <w:jc w:val="center"/>
              <w:rPr/>
            </w:pPr>
            <w:r>
              <w:rPr>
                <w:lang w:val="ru-RU" w:eastAsia="ru-RU"/>
              </w:rPr>
              <w:t xml:space="preserve"> </w:t>
            </w:r>
            <w:r>
              <w:rPr/>
              <w:drawing>
                <wp:inline distT="0" distB="0" distL="0" distR="0">
                  <wp:extent cx="500380" cy="631825"/>
                  <wp:effectExtent l="0" t="0" r="0" b="0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302" t="-239" r="-302" b="-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63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tcBorders/>
          </w:tcPr>
          <w:p>
            <w:pPr>
              <w:pStyle w:val="1"/>
              <w:jc w:val="center"/>
              <w:rPr>
                <w:rFonts w:ascii="Cambria" w:hAnsi="Cambria" w:cs="Cambria"/>
                <w:b/>
                <w:color w:val="FFFFFF"/>
                <w:highlight w:val="darkBlue"/>
              </w:rPr>
            </w:pPr>
            <w:r>
              <w:rPr>
                <w:rFonts w:cs="Cambria"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 w:cs="Cambria"/>
                <w:b/>
              </w:rPr>
            </w:pPr>
            <w:r>
              <w:rPr>
                <w:rFonts w:cs="Cambria"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/>
            </w:pPr>
            <w:r>
              <w:rPr>
                <w:rFonts w:eastAsia="Cambria" w:cs="Cambria" w:ascii="Cambria" w:hAnsi="Cambria"/>
                <w:b/>
              </w:rPr>
              <w:t xml:space="preserve"> </w:t>
            </w:r>
            <w:r>
              <w:rPr>
                <w:rFonts w:cs="Cambria"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/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3465A4"/>
        </w:rPr>
      </w:pPr>
      <w:r>
        <w:rPr>
          <w:color w:val="3465A4"/>
        </w:rPr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000000"/>
        </w:rPr>
      </w:pPr>
      <w:r>
        <w:rPr/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000000"/>
        </w:rPr>
      </w:pPr>
      <w:r>
        <w:rPr/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000000"/>
        </w:rPr>
      </w:pPr>
      <w:r>
        <w:rPr/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000000"/>
        </w:rPr>
      </w:pPr>
      <w:r>
        <w:rPr/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Информация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 xml:space="preserve"> </w:t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о внешней проверк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е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 xml:space="preserve"> бюджетной отчетности и отдельных вопросов исполнения бюджета главным  распорядителем  средств районного бюджета  Финансовым отделом администрации Ленинского муниципального района</w:t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Волгоградской области за 2025 год</w:t>
      </w:r>
    </w:p>
    <w:p>
      <w:pPr>
        <w:pStyle w:val="Normal"/>
        <w:suppressAutoHyphens w:val="true"/>
        <w:bidi w:val="0"/>
        <w:spacing w:lineRule="exact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color w:val="000000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 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ab/>
        <w:t xml:space="preserve">На основании статьи 264.4 Бюджетного Кодекса РФ, п.8.3. раздела 8 Положения о бюджетном  процессе в Ленинском муниципальном  районе Волгоградской области,  утвержденного решением Ленинской районной Думы от 16.06.2023г. 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 8/31,  ст.8 Положения «О контрольно-счетной палате Ленинского муниципального района», утвержденного решением Ленинской районной Думы от 30.11.2021г.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 20/63, Стандарта внешнего финансового контроля «Порядок  проведения комплекса проверок  исполнения бюджета и подготовки заключения на отчет об исполнении  бюджета муниципального образования», утвержденного распоряжением Контрольно-счетной палаты Ленинского муниципального района (далее – КСП) от 26.01.2015г.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1-р, плана работы на 2026 год и распоряжения КСП от 07.04.2026г.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>12-р  председателем КСП проведена внешняя проверка бюджетной отчетности и отдельных вопросов исполнения бюджета района главным распорядителем средств районного бюджета  Финансовым отделом администрации Ленинского муниципального района Волгоградской области за 2025 год (далее – Финансовый отдел).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/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ab/>
      </w:r>
      <w:r>
        <w:rPr>
          <w:rFonts w:eastAsia="Times New Roman" w:cs="Times New Roman" w:ascii="Times New Roman" w:hAnsi="Times New Roman"/>
          <w:b/>
          <w:bCs/>
          <w:color w:val="000000"/>
          <w:spacing w:val="0"/>
          <w:sz w:val="24"/>
          <w:shd w:fill="auto" w:val="clear"/>
        </w:rPr>
        <w:t>По результату  проверки установлено следующее: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ab/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1. Представленная к проверке Финансовым отделом бюджетная отчетность за 2025 год соответствует требованиям Инструкции №191н.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ab/>
        <w:t xml:space="preserve">2.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>По</w:t>
      </w:r>
      <w:r>
        <w:rPr>
          <w:rFonts w:eastAsia="Times New Roman" w:cs="Times New Roman" w:ascii="Nimbus Roman" w:hAnsi="Nimbus Roman"/>
          <w:b/>
          <w:bCs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данным бюджетной отчетности формы 0503169 «Сведения по дебиторской и кредиторской задолженности»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 xml:space="preserve">дебиторская задолженность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на конец отчетного периода уменьшилась на 19,5 тыс. руб. и составила   12,1 тыс. руб., кредиторская задолженность на конец отчетного периода увеличилась на 0,49 тыс. руб. и составила 1,17 тыс. руб. </w:t>
      </w:r>
    </w:p>
    <w:p>
      <w:pPr>
        <w:pStyle w:val="Normal"/>
        <w:tabs>
          <w:tab w:val="clear" w:pos="709"/>
          <w:tab w:val="left" w:pos="0" w:leader="none"/>
          <w:tab w:val="left" w:pos="284" w:leader="none"/>
          <w:tab w:val="left" w:pos="5812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3. По данным бюджетной отчетности доходы, администрируемые Финансовым отделом, при плане 54862,43 тыс. руб., исполнены в объеме 45766,90 тыс. руб. или  на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83,42%, на что повлияло не поступление в полном объеме с областного бюджета дотации бюджетам муниципальных районов на поддержку мер по обеспечению сбалансированности бюджетов.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ab/>
        <w:t>4. По данным бюджетной отчетности расходы при плане 61926,13 тыс. руб. исполнены в объеме 50553,36 тыс. руб. или на 81,6% к плановому показателю, т. е. не освоено  бюджетных назначений в объеме 18,4% или на 11372,77 тыс. руб.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  <w:t xml:space="preserve">5.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Бюджетные ассигнования на реализацию 2 муниципальных программ при плане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51833,06</w:t>
      </w:r>
      <w:r>
        <w:rPr>
          <w:rFonts w:eastAsia="Times New Roman" w:cs="Times New Roman" w:ascii="Nimbus Roman" w:hAnsi="Nimbus Roman"/>
          <w:bCs/>
          <w:color w:val="000000"/>
          <w:spacing w:val="0"/>
          <w:sz w:val="24"/>
          <w:szCs w:val="24"/>
          <w:shd w:fill="auto" w:val="clear"/>
        </w:rPr>
        <w:t xml:space="preserve"> тыс. руб. составили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 40710,67</w:t>
      </w:r>
      <w:r>
        <w:rPr>
          <w:rFonts w:eastAsia="Times New Roman" w:cs="Times New Roman" w:ascii="Nimbus Roman" w:hAnsi="Nimbus Roman"/>
          <w:bCs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тыс. руб. или 78,54 % от утвержденных назначений.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ab/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Неисполнение  бюджетных назначений по программам составило 11122,39 тыс. руб., где наибольший размер неисполнения составляет по муниципальной программе «Управление муниципальными финансами Ленинского муниципального района» на 11050,0 тыс. руб. </w:t>
      </w:r>
    </w:p>
    <w:p>
      <w:pPr>
        <w:pStyle w:val="Normal"/>
        <w:tabs>
          <w:tab w:val="clear" w:pos="709"/>
          <w:tab w:val="left" w:pos="1276" w:leader="none"/>
        </w:tabs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  <w:lang w:val="ru-RU"/>
        </w:rPr>
        <w:t xml:space="preserve">         </w:t>
      </w:r>
      <w:r>
        <w:rPr>
          <w:rFonts w:eastAsia="Times New Roman" w:cs="Times New Roman" w:ascii="Nimbus Roman" w:hAnsi="Nimbus Roman"/>
          <w:color w:val="000000"/>
          <w:sz w:val="24"/>
          <w:szCs w:val="24"/>
          <w:lang w:val="ru-RU"/>
        </w:rPr>
        <w:t xml:space="preserve">6.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Выборочной проверкой  по составлению и ведению бюджетных росписей</w:t>
      </w:r>
      <w:r>
        <w:rPr>
          <w:rFonts w:eastAsia="Times New Roman" w:cs="Times New Roman" w:ascii="Nimbus Roman" w:hAnsi="Nimbus Roman"/>
          <w:color w:val="000000"/>
          <w:sz w:val="24"/>
          <w:szCs w:val="24"/>
          <w:lang w:val="ru-RU"/>
        </w:rPr>
        <w:t>, бюджетных смет, реестра расходных обязательств нарушений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не установлено.</w:t>
      </w:r>
    </w:p>
    <w:p>
      <w:pPr>
        <w:pStyle w:val="Normal"/>
        <w:spacing w:lineRule="auto" w:line="240" w:before="0" w:after="0"/>
        <w:ind w:hanging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ab/>
        <w:t xml:space="preserve">7. Выборочной проверкой расчетов по заработной плате с работниками Финансового отдела 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  <w:lang w:eastAsia="ru-RU"/>
        </w:rPr>
        <w:t xml:space="preserve">нарушений не </w:t>
      </w:r>
      <w:r>
        <w:rPr>
          <w:rFonts w:eastAsia="Times New Roman" w:cs="Times New Roman" w:ascii="Nimbus Roman" w:hAnsi="Nimbus Roman"/>
          <w:color w:val="000000"/>
          <w:sz w:val="24"/>
          <w:szCs w:val="24"/>
          <w:lang w:eastAsia="ru-RU"/>
        </w:rPr>
        <w:t>установлено.</w:t>
      </w:r>
    </w:p>
    <w:p>
      <w:pPr>
        <w:pStyle w:val="NoSpacing"/>
        <w:tabs>
          <w:tab w:val="clear" w:pos="709"/>
          <w:tab w:val="left" w:pos="5103" w:leader="none"/>
        </w:tabs>
        <w:spacing w:lineRule="auto" w:line="240" w:before="0" w:after="0"/>
        <w:ind w:hanging="0" w:right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            </w:t>
      </w:r>
      <w:r>
        <w:rPr>
          <w:rFonts w:ascii="Nimbus Roman" w:hAnsi="Nimbus Roman"/>
          <w:color w:val="000000"/>
          <w:sz w:val="24"/>
          <w:szCs w:val="24"/>
        </w:rPr>
        <w:t>8. Превышения штатной численности муниципальных служащих не установлено.</w:t>
      </w:r>
    </w:p>
    <w:p>
      <w:pPr>
        <w:pStyle w:val="Normal"/>
        <w:spacing w:lineRule="auto" w:line="240" w:before="0" w:after="0"/>
        <w:ind w:hanging="0" w:right="0"/>
        <w:contextualSpacing/>
        <w:jc w:val="both"/>
        <w:rPr>
          <w:rFonts w:ascii="Nimbus Roman" w:hAnsi="Nimbus Roman" w:eastAsia="Times New Roman" w:cs="Times New Roman"/>
          <w:color w:val="000000"/>
          <w:spacing w:val="0"/>
          <w:sz w:val="24"/>
          <w:szCs w:val="24"/>
          <w:shd w:fill="auto" w:val="clear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737" w:left="0" w:right="0"/>
        <w:jc w:val="both"/>
        <w:rPr>
          <w:b/>
          <w:bCs/>
        </w:rPr>
      </w:pPr>
      <w:r>
        <w:rPr>
          <w:rFonts w:ascii="Nimbus Roman" w:hAnsi="Nimbus Roman"/>
          <w:b/>
          <w:bCs/>
          <w:color w:val="000000"/>
          <w:sz w:val="24"/>
          <w:szCs w:val="24"/>
          <w:u w:val="none"/>
        </w:rPr>
        <w:t>По результату проверки Финансовому отделу дано п</w:t>
      </w:r>
      <w:r>
        <w:rPr>
          <w:rFonts w:ascii="Nimbus Roman" w:hAnsi="Nimbus Roman"/>
          <w:b/>
          <w:bCs/>
          <w:color w:val="000000"/>
          <w:sz w:val="24"/>
          <w:szCs w:val="24"/>
          <w:u w:val="none"/>
        </w:rPr>
        <w:t>редложени</w:t>
      </w:r>
      <w:r>
        <w:rPr>
          <w:rFonts w:ascii="Nimbus Roman" w:hAnsi="Nimbus Roman"/>
          <w:b/>
          <w:bCs/>
          <w:color w:val="000000"/>
          <w:sz w:val="24"/>
          <w:szCs w:val="24"/>
          <w:u w:val="none"/>
        </w:rPr>
        <w:t>е п</w:t>
      </w:r>
      <w:r>
        <w:rPr>
          <w:rFonts w:cs="Nimbus Roman" w:ascii="Nimbus Roman" w:hAnsi="Nimbus Roman"/>
          <w:b/>
          <w:bCs/>
          <w:sz w:val="24"/>
          <w:szCs w:val="24"/>
        </w:rPr>
        <w:t>ринять соответствующие меры по ликвидации дебиторской и кредиторской задолженности по состоянию на 01.01.2026г. и не допускать в дальнейшей работе ее наличие.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left"/>
        <w:rPr>
          <w:rFonts w:ascii="Nimbus Roman" w:hAnsi="Nimbus Roman" w:eastAsia="Times New Roman" w:cs="Times New Roman"/>
          <w:b/>
          <w:bCs/>
          <w:color w:val="000000"/>
          <w:spacing w:val="0"/>
          <w:sz w:val="24"/>
          <w:szCs w:val="24"/>
          <w:shd w:fill="auto" w:val="clear"/>
        </w:rPr>
      </w:pPr>
      <w:r>
        <w:rPr>
          <w:rFonts w:eastAsia="Times New Roman" w:cs="Times New Roman" w:ascii="Nimbus Roman" w:hAnsi="Nimbus Roman"/>
          <w:b/>
          <w:bCs/>
          <w:color w:val="000000"/>
          <w:spacing w:val="0"/>
          <w:sz w:val="24"/>
          <w:szCs w:val="24"/>
          <w:shd w:fill="auto" w:val="clear"/>
        </w:rPr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left"/>
        <w:rPr>
          <w:rFonts w:ascii="Nimbus Roman" w:hAnsi="Nimbus Roman" w:eastAsia="Times New Roman" w:cs="Times New Roman"/>
          <w:color w:val="000000"/>
          <w:spacing w:val="0"/>
          <w:sz w:val="24"/>
          <w:szCs w:val="24"/>
          <w:shd w:fill="auto" w:val="clear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left"/>
        <w:rPr>
          <w:rFonts w:ascii="Times New Roman" w:hAnsi="Times New Roman" w:eastAsia="Times New Roman" w:cs="Times New Roman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spacing w:val="0"/>
          <w:sz w:val="24"/>
          <w:shd w:fill="auto" w:val="clear"/>
        </w:rPr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left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>Председатель Контрольно-счетной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left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>палаты Ленинского муниципального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left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>района                    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2240" w:h="15840"/>
      <w:pgMar w:left="1304" w:right="624" w:gutter="0" w:header="0" w:top="624" w:footer="454" w:bottom="1006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Segoe UI Symbol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Droid Sans Fallback" w:cs="Lohit Devanagari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Droid Sans Fallback" w:cs="Lohit Devanagari"/>
      <w:color w:val="auto"/>
      <w:kern w:val="2"/>
      <w:sz w:val="22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">
    <w:name w:val="Обычный1"/>
    <w:qFormat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zh-CN" w:bidi="ar-SA"/>
    </w:rPr>
  </w:style>
  <w:style w:type="paragraph" w:styleId="11">
    <w:name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0"/>
      <w:lang w:val="ru-RU" w:eastAsia="zh-CN" w:bidi="ar-SA"/>
    </w:rPr>
  </w:style>
  <w:style w:type="paragraph" w:styleId="Style16">
    <w:name w:val="Колонтитул"/>
    <w:basedOn w:val="Normal"/>
    <w:qFormat/>
    <w:pPr>
      <w:suppressLineNumbers/>
      <w:tabs>
        <w:tab w:val="clear" w:pos="709"/>
        <w:tab w:val="center" w:pos="5156" w:leader="none"/>
        <w:tab w:val="right" w:pos="10312" w:leader="none"/>
      </w:tabs>
    </w:pPr>
    <w:rPr/>
  </w:style>
  <w:style w:type="paragraph" w:styleId="Footer">
    <w:name w:val="Footer"/>
    <w:basedOn w:val="Style16"/>
    <w:pPr>
      <w:suppressLineNumbers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Style19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Calibri" w:asciiTheme="minorHAnsi" w:hAnsiTheme="minorHAnsi"/>
      <w:color w:val="auto"/>
      <w:kern w:val="0"/>
      <w:sz w:val="22"/>
      <w:szCs w:val="22"/>
      <w:lang w:val="ru-RU" w:eastAsia="zh-CN" w:bidi="ar-SA"/>
    </w:rPr>
  </w:style>
  <w:style w:type="paragraph" w:styleId="Style20">
    <w:name w:val="Нормальный (таблица)"/>
    <w:basedOn w:val="Normal"/>
    <w:next w:val="Normal"/>
    <w:qFormat/>
    <w:pPr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1690</TotalTime>
  <Application>LibreOffice/7.6.7.2$Linux_X86_64 LibreOffice_project/60$Build-2</Application>
  <AppVersion>15.0000</AppVersion>
  <Pages>2</Pages>
  <Words>444</Words>
  <Characters>3155</Characters>
  <CharactersWithSpaces>3764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2026-04-16T09:23:40Z</cp:lastPrinted>
  <dcterms:modified xsi:type="dcterms:W3CDTF">2026-07-07T15:33:24Z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