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471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3889"/>
        <w:gridCol w:w="5009"/>
        <w:gridCol w:w="572"/>
      </w:tblGrid>
      <w:tr>
        <w:trPr>
          <w:trHeight w:val="372" w:hRule="atLeast"/>
          <w:cantSplit w:val="true"/>
        </w:trPr>
        <w:tc>
          <w:tcPr>
            <w:tcW w:w="8898" w:type="dxa"/>
            <w:gridSpan w:val="2"/>
            <w:tcBorders/>
          </w:tcPr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  <w:tc>
          <w:tcPr>
            <w:tcW w:w="572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938" w:hRule="atLeast"/>
          <w:cantSplit w:val="true"/>
        </w:trPr>
        <w:tc>
          <w:tcPr>
            <w:tcW w:w="8898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b/>
                <w:sz w:val="22"/>
                <w:szCs w:val="22"/>
              </w:rPr>
              <w:t xml:space="preserve"> </w:t>
            </w:r>
            <w:r>
              <w:rPr>
                <w:rFonts w:ascii="Tempora LGC Uni" w:hAnsi="Tempora LGC Uni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sz w:val="22"/>
                <w:szCs w:val="22"/>
              </w:rPr>
              <w:t>404620, Волгоградская область г. Ленинск ул. Ленина д.209</w:t>
            </w:r>
          </w:p>
          <w:p>
            <w:pPr>
              <w:pStyle w:val="1"/>
              <w:jc w:val="center"/>
              <w:rPr>
                <w:rFonts w:ascii="Tempora LGC Uni" w:hAnsi="Tempora LGC Uni"/>
              </w:rPr>
            </w:pPr>
            <w:r>
              <w:rPr>
                <w:rFonts w:ascii="Tempora LGC Uni" w:hAnsi="Tempora LGC Uni"/>
                <w:sz w:val="22"/>
                <w:szCs w:val="22"/>
              </w:rPr>
              <w:t xml:space="preserve">тел. 8-84478-42747, </w:t>
            </w:r>
            <w:r>
              <w:rPr>
                <w:rFonts w:ascii="Tempora LGC Uni" w:hAnsi="Tempora LGC Uni"/>
                <w:sz w:val="22"/>
                <w:szCs w:val="22"/>
                <w:lang w:val="en-US"/>
              </w:rPr>
              <w:t>e</w:t>
            </w:r>
            <w:r>
              <w:rPr>
                <w:rFonts w:ascii="Tempora LGC Uni" w:hAnsi="Tempora LGC Uni"/>
                <w:sz w:val="22"/>
                <w:szCs w:val="22"/>
              </w:rPr>
              <w:t>-</w:t>
            </w:r>
            <w:r>
              <w:rPr>
                <w:rFonts w:ascii="Tempora LGC Uni" w:hAnsi="Tempora LGC Uni"/>
                <w:sz w:val="22"/>
                <w:szCs w:val="22"/>
                <w:lang w:val="en-US"/>
              </w:rPr>
              <w:t>mail</w:t>
            </w:r>
            <w:r>
              <w:rPr>
                <w:rFonts w:ascii="Tempora LGC Uni" w:hAnsi="Tempora LGC Uni"/>
                <w:sz w:val="22"/>
                <w:szCs w:val="22"/>
              </w:rPr>
              <w:t xml:space="preserve">: </w:t>
            </w:r>
            <w:r>
              <w:rPr>
                <w:rFonts w:ascii="Tempora LGC Uni" w:hAnsi="Tempora LGC Uni"/>
                <w:sz w:val="22"/>
                <w:szCs w:val="22"/>
                <w:lang w:val="en-US"/>
              </w:rPr>
              <w:t>mololkina</w:t>
            </w:r>
            <w:r>
              <w:rPr>
                <w:rFonts w:ascii="Tempora LGC Uni" w:hAnsi="Tempora LGC Uni"/>
                <w:sz w:val="22"/>
                <w:szCs w:val="22"/>
              </w:rPr>
              <w:t>60@</w:t>
            </w:r>
            <w:r>
              <w:rPr>
                <w:rFonts w:ascii="Tempora LGC Uni" w:hAnsi="Tempora LGC Uni"/>
                <w:sz w:val="22"/>
                <w:szCs w:val="22"/>
                <w:lang w:val="en-US"/>
              </w:rPr>
              <w:t>mail</w:t>
            </w:r>
            <w:r>
              <w:rPr>
                <w:rFonts w:ascii="Tempora LGC Uni" w:hAnsi="Tempora LGC Uni"/>
                <w:sz w:val="22"/>
                <w:szCs w:val="22"/>
              </w:rPr>
              <w:t>.</w:t>
            </w:r>
            <w:r>
              <w:rPr>
                <w:rFonts w:ascii="Tempora LGC Uni" w:hAnsi="Tempora LGC Uni"/>
                <w:sz w:val="22"/>
                <w:szCs w:val="22"/>
                <w:lang w:val="en-US"/>
              </w:rPr>
              <w:t>ru</w:t>
            </w:r>
          </w:p>
        </w:tc>
        <w:tc>
          <w:tcPr>
            <w:tcW w:w="572" w:type="dxa"/>
            <w:tcBorders/>
          </w:tcPr>
          <w:p>
            <w:pPr>
              <w:pStyle w:val="Normal"/>
              <w:widowControl/>
              <w:bidi w:val="0"/>
              <w:spacing w:lineRule="auto" w:line="276" w:before="0" w:after="200"/>
              <w:jc w:val="left"/>
              <w:rPr/>
            </w:pPr>
            <w:r>
              <w:rPr/>
            </w:r>
          </w:p>
        </w:tc>
      </w:tr>
      <w:tr>
        <w:trPr>
          <w:trHeight w:val="1117" w:hRule="atLeast"/>
        </w:trPr>
        <w:tc>
          <w:tcPr>
            <w:tcW w:w="3889" w:type="dxa"/>
            <w:tcBorders>
              <w:top w:val="thinThickSmallGap" w:sz="18" w:space="0" w:color="000000"/>
            </w:tcBorders>
          </w:tcPr>
          <w:p>
            <w:pPr>
              <w:pStyle w:val="11"/>
              <w:ind w:right="-4083"/>
              <w:rPr>
                <w:color w:themeColor="text1" w:val="000000"/>
                <w:sz w:val="26"/>
                <w:szCs w:val="26"/>
                <w:lang w:val="en-US"/>
              </w:rPr>
            </w:pPr>
            <w:r>
              <w:rPr>
                <w:color w:themeColor="text1" w:val="000000"/>
                <w:sz w:val="26"/>
                <w:szCs w:val="26"/>
              </w:rPr>
              <w:t xml:space="preserve">  №</w:t>
            </w:r>
            <w:r>
              <w:rPr>
                <w:color w:themeColor="text1" w:val="000000"/>
                <w:sz w:val="26"/>
                <w:szCs w:val="26"/>
              </w:rPr>
              <w:t>1</w:t>
            </w:r>
            <w:r>
              <w:rPr>
                <w:color w:themeColor="text1" w:val="000000"/>
                <w:sz w:val="26"/>
                <w:szCs w:val="26"/>
                <w:lang w:val="en-US"/>
              </w:rPr>
              <w:t>7/766</w:t>
            </w:r>
          </w:p>
          <w:p>
            <w:pPr>
              <w:pStyle w:val="11"/>
              <w:rPr>
                <w:color w:themeColor="text1" w:val="000000"/>
                <w:sz w:val="26"/>
                <w:szCs w:val="26"/>
              </w:rPr>
            </w:pPr>
            <w:r>
              <w:rPr>
                <w:color w:themeColor="text1" w:val="000000"/>
                <w:sz w:val="26"/>
                <w:szCs w:val="26"/>
              </w:rPr>
            </w:r>
          </w:p>
          <w:p>
            <w:pPr>
              <w:pStyle w:val="11"/>
              <w:rPr>
                <w:color w:themeColor="text1" w:val="000000"/>
                <w:sz w:val="26"/>
                <w:szCs w:val="26"/>
              </w:rPr>
            </w:pPr>
            <w:r>
              <w:rPr>
                <w:color w:themeColor="text1" w:val="000000"/>
                <w:sz w:val="26"/>
                <w:szCs w:val="26"/>
              </w:rPr>
            </w:r>
          </w:p>
        </w:tc>
        <w:tc>
          <w:tcPr>
            <w:tcW w:w="5581" w:type="dxa"/>
            <w:gridSpan w:val="2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ind w:right="-344"/>
              <w:jc w:val="center"/>
              <w:rPr>
                <w:rFonts w:ascii="Times New Roman" w:hAnsi="Times New Roman" w:cs="Times New Roman"/>
                <w:color w:themeColor="text1" w:val="000000"/>
                <w:sz w:val="26"/>
                <w:szCs w:val="26"/>
              </w:rPr>
            </w:pPr>
            <w:r>
              <w:rPr>
                <w:rFonts w:cs="Times New Roman" w:ascii="Times New Roman" w:hAnsi="Times New Roman"/>
                <w:color w:themeColor="text1" w:val="000000"/>
                <w:sz w:val="26"/>
                <w:szCs w:val="26"/>
              </w:rPr>
              <w:t xml:space="preserve">                                                           </w:t>
            </w:r>
            <w:r>
              <w:rPr>
                <w:rFonts w:cs="Times New Roman" w:ascii="Times New Roman" w:hAnsi="Times New Roman"/>
                <w:color w:themeColor="text1" w:val="000000"/>
                <w:sz w:val="26"/>
                <w:szCs w:val="26"/>
              </w:rPr>
              <w:t>29.04.2026г.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empora LGC Uni" w:hAnsi="Tempora LGC Uni"/>
          <w:b/>
          <w:color w:val="000000"/>
          <w:sz w:val="26"/>
          <w:szCs w:val="26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  <w:t>по итогам финансово — экономической экспертизы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04.10.2017 №466 «Об утверждении муниципальной  программы Ленинского муниципального района  «Развитие агропромышленного комплекса Ленинского  муниципального района»</w:t>
      </w:r>
      <w:r>
        <w:rPr>
          <w:rFonts w:cs="Times New Roman" w:ascii="Tempora LGC Uni" w:hAnsi="Tempora LGC Uni"/>
          <w:b/>
          <w:bCs/>
          <w:color w:val="000000"/>
          <w:sz w:val="26"/>
          <w:szCs w:val="26"/>
        </w:rPr>
        <w:t xml:space="preserve"> (</w:t>
      </w:r>
      <w:r>
        <w:rPr>
          <w:rFonts w:cs="Times New Roman" w:ascii="Tempora LGC Uni" w:hAnsi="Tempora LGC Uni"/>
          <w:color w:val="000000"/>
          <w:sz w:val="26"/>
          <w:szCs w:val="26"/>
        </w:rPr>
        <w:t>в редакции постановлений от 26.06.2018 №391, от 30.11.2018 №676, от 23.04.2019 №179, от 30.09.2019г. №504, от 22.11.2019г. №645, от 30.12.2019г. №744,  от 15.04.2020 №173, от 12.05.2020 №221, от 11.06.2020 №260, от 03.08.2020 №346, от 25.12.2020 №639, от 11.05.2021 №260, от 18.06.2021 №323, от 29.12.2021 №677, от 04.03.2022 №102, от 08.07.2022 №343, от 01.12.2022 №604, от 07.03.2023 №99, от 05.07.2023 №301, от 24.08.2023 №393, от 16.01.2024 №6, от 14.02.2024 №43,  от 16.07.2024 №276, от 03.12.2024 №513, от 20.02.2025 №59, от 03.04.2025 №167, от 01.07.2025 №342, от 15.08.2025 №436, от 10.12.2025 №673, от 26.12.2025 №726, от 12.02.2026 №54).</w:t>
      </w:r>
    </w:p>
    <w:p>
      <w:pPr>
        <w:pStyle w:val="Normal"/>
        <w:spacing w:lineRule="auto" w:line="240" w:before="0" w:after="0"/>
        <w:jc w:val="center"/>
        <w:rPr>
          <w:rFonts w:ascii="Tempora LGC Uni" w:hAnsi="Tempora LGC Uni" w:cs="Times New Roman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Tempora LGC Uni" w:hAnsi="Tempora LGC Uni" w:cs="Times New Roman"/>
          <w:b/>
          <w:color w:val="000000"/>
          <w:sz w:val="26"/>
          <w:szCs w:val="26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Tempora LGC Uni" w:hAnsi="Tempora LGC Uni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,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плана работы Контрольно-счетной палаты  Ленинского муниципального района  на 2026 год и распоряжения  на проведение экспертизы №18-р от 28.04.2026г.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04.10.2017 №466 «Об утверждении муниципальной программы Ленинского муниципального района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>«</w:t>
      </w:r>
      <w:r>
        <w:rPr>
          <w:rFonts w:cs="Times New Roman" w:ascii="Tempora LGC Uni" w:hAnsi="Tempora LGC Uni"/>
          <w:color w:val="000000"/>
          <w:sz w:val="26"/>
          <w:szCs w:val="26"/>
        </w:rPr>
        <w:t>Развитие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>агропромышленного комплекса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>Ленинского муниципального района» (далее – проект Постановления, проект).</w:t>
      </w:r>
    </w:p>
    <w:p>
      <w:pPr>
        <w:pStyle w:val="Normal"/>
        <w:spacing w:lineRule="auto" w:line="240" w:before="0" w:after="0"/>
        <w:contextualSpacing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  <w:t>В соответствии со ст. 179 Бюджетного кодекса РФ от 31.07.1998г. № 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contextualSpacing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  <w:t>Постановлением администрации Ленинского муниципального района от 25.09.2018г. № 573 утвержден Порядок разработки, реализации и оценки 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>
      <w:pPr>
        <w:pStyle w:val="Normal"/>
        <w:spacing w:lineRule="auto" w:line="240" w:before="0" w:after="0"/>
        <w:contextualSpacing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ab/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Экспертиза проекта Постановления проведена на предмет соответствия изменений, вносимых в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муниципальную программу Ленинского муниципального района 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>«</w:t>
      </w:r>
      <w:r>
        <w:rPr>
          <w:rFonts w:cs="Times New Roman" w:ascii="Tempora LGC Uni" w:hAnsi="Tempora LGC Uni"/>
          <w:color w:val="000000"/>
          <w:sz w:val="26"/>
          <w:szCs w:val="26"/>
        </w:rPr>
        <w:t>Развитие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>агропромышленного комплекса</w:t>
      </w: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Ленинского муниципального района» (далее –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 а также Порядку, утвержденному Постановлением №573.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В Контрольно-счетную палату с письмом Отдела по сельскому хозяйству и продовольствию администрации Ленинского муниципального района  от 28.04.2026 №58, согласно п.4.9. Порядка, утвержденного Постановлением №573, представлены: проект Постановления,  проект паспорта Программы, </w:t>
      </w:r>
      <w:r>
        <w:rPr>
          <w:rFonts w:cs="Times New Roman" w:ascii="Tempora LGC Uni" w:hAnsi="Tempora LGC Uni"/>
          <w:color w:val="000000"/>
          <w:sz w:val="26"/>
          <w:szCs w:val="26"/>
        </w:rPr>
        <w:t>пояснительная записка к изменениям  в Программу.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hanging="0" w:left="0" w:right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ab/>
        <w:t>В ходе подготовки заключения был проанализирован проект Постановления, замечания к проекту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Согласно действующего паспорта Программы: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  <w:t>Ответственным исполнителем Программы</w:t>
      </w:r>
      <w:r>
        <w:rPr>
          <w:rFonts w:cs="Times New Roman" w:ascii="Tempora LGC Uni" w:hAnsi="Tempora LGC Uni"/>
          <w:color w:val="000000"/>
          <w:sz w:val="26"/>
          <w:szCs w:val="26"/>
        </w:rPr>
        <w:t xml:space="preserve"> является отдел по сельскому хозяйству и продовольствию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b/>
          <w:color w:val="000000"/>
          <w:sz w:val="26"/>
          <w:szCs w:val="26"/>
        </w:rPr>
        <w:t xml:space="preserve">Соисполнителями Программы являются: </w:t>
      </w:r>
      <w:r>
        <w:rPr>
          <w:rFonts w:cs="Times New Roman" w:ascii="Tempora LGC Uni" w:hAnsi="Tempora LGC Uni"/>
          <w:b w:val="false"/>
          <w:bCs w:val="false"/>
          <w:color w:val="000000"/>
          <w:sz w:val="26"/>
          <w:szCs w:val="26"/>
        </w:rPr>
        <w:t>о</w:t>
      </w:r>
      <w:r>
        <w:rPr>
          <w:rFonts w:cs="Times New Roman" w:ascii="Tempora LGC Uni" w:hAnsi="Tempora LGC Uni"/>
          <w:color w:val="000000"/>
          <w:sz w:val="26"/>
          <w:szCs w:val="26"/>
        </w:rPr>
        <w:t>тдел по жизнеобеспечению администрации Ленинского муниципального района, АО «Птицефабрика Волжская», КТ «Фролов и К», СПК «Ахтуба», СПК «Престиж», СПК «Овощное», СПССК «Молре», ООО «Агро-Юг», ООО «Кухмастер», КФХ, ИП главы К(Ф)Х, ИП.</w:t>
      </w:r>
    </w:p>
    <w:p>
      <w:pPr>
        <w:pStyle w:val="NoSpacing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ab/>
      </w:r>
      <w:r>
        <w:rPr>
          <w:rFonts w:ascii="Tempora LGC Uni" w:hAnsi="Tempora LGC Uni"/>
          <w:b/>
          <w:bCs/>
          <w:color w:val="000000"/>
          <w:sz w:val="26"/>
          <w:szCs w:val="26"/>
        </w:rPr>
        <w:t>Основной ц</w:t>
      </w:r>
      <w:r>
        <w:rPr>
          <w:rFonts w:ascii="Tempora LGC Uni" w:hAnsi="Tempora LGC Uni"/>
          <w:b/>
          <w:color w:val="000000"/>
          <w:sz w:val="26"/>
          <w:szCs w:val="26"/>
        </w:rPr>
        <w:t xml:space="preserve">елью Программы является: </w:t>
      </w:r>
      <w:r>
        <w:rPr>
          <w:rFonts w:ascii="Tempora LGC Uni" w:hAnsi="Tempora LGC Uni"/>
          <w:color w:val="000000"/>
          <w:sz w:val="26"/>
          <w:szCs w:val="26"/>
        </w:rPr>
        <w:t xml:space="preserve">обеспечение устойчивого функционирования и развития агропромышленного комплекса района на основе финансовой устойчивости и модернизации сельского хозяйства; увеличение объемов производства сельскохозяйственной продукции. </w:t>
      </w:r>
    </w:p>
    <w:p>
      <w:pPr>
        <w:pStyle w:val="NoSpacing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ab/>
      </w:r>
      <w:r>
        <w:rPr>
          <w:rFonts w:ascii="Tempora LGC Uni" w:hAnsi="Tempora LGC Uni"/>
          <w:b/>
          <w:color w:val="000000"/>
          <w:sz w:val="26"/>
          <w:szCs w:val="26"/>
        </w:rPr>
        <w:t>Основными задачами Программы являются</w:t>
      </w:r>
      <w:r>
        <w:rPr>
          <w:rFonts w:ascii="Tempora LGC Uni" w:hAnsi="Tempora LGC Uni"/>
          <w:color w:val="000000"/>
          <w:sz w:val="26"/>
          <w:szCs w:val="26"/>
        </w:rPr>
        <w:t xml:space="preserve"> создание условий для увеличения объемов производства сельскохозяйственной продукции и эффективности функционирования агропромышленного комплекса, а также повышение занятости и уровня жизни сельского населения. </w:t>
      </w:r>
    </w:p>
    <w:p>
      <w:pPr>
        <w:pStyle w:val="NoSpacing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ab/>
      </w:r>
      <w:r>
        <w:rPr>
          <w:rFonts w:ascii="Tempora LGC Uni" w:hAnsi="Tempora LGC Uni"/>
          <w:b/>
          <w:color w:val="000000"/>
          <w:sz w:val="26"/>
          <w:szCs w:val="26"/>
        </w:rPr>
        <w:t>Сроки и этапы реализации Программы:</w:t>
      </w:r>
      <w:r>
        <w:rPr>
          <w:rFonts w:ascii="Tempora LGC Uni" w:hAnsi="Tempora LGC Uni"/>
          <w:color w:val="000000"/>
          <w:sz w:val="26"/>
          <w:szCs w:val="26"/>
        </w:rPr>
        <w:t xml:space="preserve"> Программа реализуется в три этапа: 1 этап – 2018-2020 годы; 2 этап – 2021-2023 годы; 3 этап -  2024-2028 годы.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eastAsia="Times New Roman" w:cs="Times New Roman" w:ascii="Tempora LGC Uni" w:hAnsi="Tempora LGC Uni"/>
          <w:b/>
          <w:color w:val="000000"/>
          <w:sz w:val="26"/>
          <w:szCs w:val="26"/>
        </w:rPr>
        <w:t xml:space="preserve">Согласно пояснительной записке, 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изменения в Программу вносятся в соответствии с заключенным между Комитетом сельского хозяйства Волгоградской области и Администрацией Ленинского муниципального района соглашением о взаимодействии по достижению значений показателей исполнения мероприятий государственной программы Волгоградской области «Развитие сельского хозяйства и регулирование рынков сельскохозяйственной продукции, сырья и продовольствия» от 15.12.2025г. №161 (далее — Соглашение от 15.12.2025г. №161) и уведомления по расчетам между бюджетами от 15.12.2025г. №161 Комитета сельского хозяйства Волгоградской области о предоставлении межбюджетных трансфертов, в виде  субсидии на мероприятия по обводнению на 2026 год в сумме 5191,531 тыс. руб.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 xml:space="preserve">В связи с этим вносятся следующие изменения в </w:t>
      </w:r>
      <w:r>
        <w:rPr>
          <w:rFonts w:eastAsia="Times New Roman" w:cs="Times New Roman" w:ascii="Tempora LGC Uni" w:hAnsi="Tempora LGC Uni"/>
          <w:b/>
          <w:bCs/>
          <w:color w:val="000000"/>
          <w:sz w:val="26"/>
          <w:szCs w:val="26"/>
        </w:rPr>
        <w:t>Программу</w:t>
      </w:r>
      <w:r>
        <w:rPr>
          <w:rFonts w:eastAsia="Times New Roman" w:cs="Times New Roman" w:ascii="Tempora LGC Uni" w:hAnsi="Tempora LGC Uni"/>
          <w:color w:val="000000"/>
          <w:sz w:val="26"/>
          <w:szCs w:val="26"/>
        </w:rPr>
        <w:t>: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- в 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>позицию паспорта</w:t>
      </w:r>
      <w:r>
        <w:rPr>
          <w:rFonts w:ascii="Tempora LGC Uni" w:hAnsi="Tempora LGC Uni"/>
          <w:b/>
          <w:color w:val="000000"/>
          <w:sz w:val="26"/>
          <w:szCs w:val="26"/>
        </w:rPr>
        <w:t xml:space="preserve"> 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Программы </w:t>
      </w:r>
      <w:r>
        <w:rPr>
          <w:rFonts w:ascii="Tempora LGC Uni" w:hAnsi="Tempora LGC Uni"/>
          <w:b/>
          <w:color w:val="000000"/>
          <w:sz w:val="26"/>
          <w:szCs w:val="26"/>
        </w:rPr>
        <w:t>«Целевые показатели Программы (подпрограммы)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>,</w:t>
      </w:r>
      <w:r>
        <w:rPr>
          <w:rFonts w:ascii="Tempora LGC Uni" w:hAnsi="Tempora LGC Uni"/>
          <w:color w:val="000000"/>
          <w:sz w:val="26"/>
          <w:szCs w:val="26"/>
        </w:rPr>
        <w:t xml:space="preserve"> где добавлены новые целевые показатели: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eastAsia="Open Sans" w:cs="Open Sans" w:ascii="Tempora LGC Uni" w:hAnsi="Tempora LGC Uni"/>
          <w:color w:val="000000"/>
          <w:sz w:val="26"/>
          <w:szCs w:val="26"/>
        </w:rPr>
        <w:t>•</w:t>
      </w:r>
      <w:r>
        <w:rPr>
          <w:rFonts w:eastAsia="" w:cs="" w:ascii="Tempora LGC Uni" w:hAnsi="Tempora LGC Uni"/>
          <w:color w:val="000000"/>
          <w:sz w:val="26"/>
          <w:szCs w:val="26"/>
        </w:rPr>
        <w:t xml:space="preserve">    </w:t>
      </w:r>
      <w:r>
        <w:rPr>
          <w:rFonts w:ascii="Tempora LGC Uni" w:hAnsi="Tempora LGC Uni"/>
          <w:color w:val="000000"/>
          <w:sz w:val="26"/>
          <w:szCs w:val="26"/>
        </w:rPr>
        <w:t>«поголовье крупного рогатого скота в хозяйствах всех категорий»;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eastAsia="Open Sans" w:cs="Open Sans" w:ascii="Tempora LGC Uni" w:hAnsi="Tempora LGC Uni"/>
          <w:color w:val="000000"/>
          <w:sz w:val="26"/>
          <w:szCs w:val="26"/>
        </w:rPr>
        <w:t>•</w:t>
      </w:r>
      <w:r>
        <w:rPr>
          <w:rFonts w:eastAsia="" w:cs="" w:ascii="Tempora LGC Uni" w:hAnsi="Tempora LGC Uni"/>
          <w:color w:val="000000"/>
          <w:sz w:val="26"/>
          <w:szCs w:val="26"/>
        </w:rPr>
        <w:t xml:space="preserve">    </w:t>
      </w:r>
      <w:r>
        <w:rPr>
          <w:rFonts w:ascii="Tempora LGC Uni" w:hAnsi="Tempora LGC Uni"/>
          <w:color w:val="000000"/>
          <w:sz w:val="26"/>
          <w:szCs w:val="26"/>
        </w:rPr>
        <w:t>«поголовье коров в хозяйствах всех категорий»;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eastAsia="Open Sans" w:cs="Open Sans" w:ascii="Tempora LGC Uni" w:hAnsi="Tempora LGC Uni"/>
          <w:color w:val="000000"/>
          <w:sz w:val="26"/>
          <w:szCs w:val="26"/>
        </w:rPr>
        <w:t>•</w:t>
      </w:r>
      <w:r>
        <w:rPr>
          <w:rFonts w:eastAsia="" w:cs="" w:ascii="Tempora LGC Uni" w:hAnsi="Tempora LGC Uni"/>
          <w:color w:val="000000"/>
          <w:sz w:val="26"/>
          <w:szCs w:val="26"/>
        </w:rPr>
        <w:t xml:space="preserve"> </w:t>
      </w:r>
      <w:r>
        <w:rPr>
          <w:rFonts w:ascii="Tempora LGC Uni" w:hAnsi="Tempora LGC Uni"/>
          <w:color w:val="000000"/>
          <w:sz w:val="26"/>
          <w:szCs w:val="26"/>
        </w:rPr>
        <w:t xml:space="preserve">«прирост объема сельскохозяйственной продукции, произведенной и реализованной крестьянскими (фермерскими) хозяйствами, получившими грант Агростартап по отношению к предыдущему году». 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Соответственно вносятся изменения и в текстовую часть паспорта Программы в раздел 3 «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 xml:space="preserve">Целевые показатели муниципальной программы, ожидаемые конечные результаты реализации муниципальной программы», 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>а именно добавлены новые целевые показатели и увеличены количественные значения отдельных целевых показателей.</w:t>
      </w:r>
    </w:p>
    <w:p>
      <w:pPr>
        <w:pStyle w:val="Normal"/>
        <w:spacing w:lineRule="auto" w:line="240" w:before="0" w:after="0"/>
        <w:ind w:hanging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ab/>
        <w:t xml:space="preserve">Следует отметить, что в приложении 1 к </w:t>
      </w:r>
      <w:r>
        <w:rPr>
          <w:rFonts w:eastAsia="Times New Roman" w:cs="Times New Roman" w:ascii="Tempora LGC Uni" w:hAnsi="Tempora LGC Uni"/>
          <w:b w:val="false"/>
          <w:bCs w:val="false"/>
          <w:color w:val="000000"/>
          <w:sz w:val="26"/>
          <w:szCs w:val="26"/>
        </w:rPr>
        <w:t>Соглашению от 15.12.2025г. №161 доведены количественные значения целевых показателей на 2026 год. В ходе проведения экспертизы установлено расхождение количественного значения отдельных целевых показателей доведенных приложением 1 к Соглашению от 15.12.2020г. №161  с формой 1 «Перечень целевых показателей достижения поставленных целей и задач муниципальной программы Ленинского муниципального района». Расхождение представлено в таблице.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</w:rPr>
      </w:r>
    </w:p>
    <w:tbl>
      <w:tblPr>
        <w:tblW w:w="9804" w:type="dxa"/>
        <w:jc w:val="left"/>
        <w:tblInd w:w="-2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217"/>
        <w:gridCol w:w="1415"/>
        <w:gridCol w:w="1757"/>
        <w:gridCol w:w="1414"/>
      </w:tblGrid>
      <w:tr>
        <w:trPr>
          <w:trHeight w:val="540" w:hRule="atLeast"/>
        </w:trPr>
        <w:tc>
          <w:tcPr>
            <w:tcW w:w="521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Tempora LGC Uni" w:hAnsi="Tempora LGC Uni"/>
                <w:sz w:val="20"/>
                <w:szCs w:val="20"/>
              </w:rPr>
            </w:pPr>
            <w:r>
              <w:rPr>
                <w:rFonts w:ascii="Tempora LGC Uni" w:hAnsi="Tempora LGC Uni"/>
                <w:b w:val="false"/>
                <w:bCs w:val="false"/>
                <w:sz w:val="20"/>
                <w:szCs w:val="20"/>
              </w:rPr>
              <w:t>Н</w:t>
            </w:r>
            <w:r>
              <w:rPr>
                <w:rFonts w:ascii="Tempora LGC Uni" w:hAnsi="Tempora LGC Uni"/>
                <w:sz w:val="20"/>
                <w:szCs w:val="20"/>
              </w:rPr>
              <w:t>аименование целевого показателя</w:t>
            </w:r>
          </w:p>
        </w:tc>
        <w:tc>
          <w:tcPr>
            <w:tcW w:w="14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Tempora LGC Uni" w:hAnsi="Tempora LGC Uni"/>
                <w:sz w:val="20"/>
                <w:szCs w:val="20"/>
              </w:rPr>
            </w:pPr>
            <w:r>
              <w:rPr>
                <w:rFonts w:ascii="Tempora LGC Uni" w:hAnsi="Tempora LGC Uni"/>
                <w:sz w:val="20"/>
                <w:szCs w:val="20"/>
              </w:rPr>
              <w:t>Наименование единицы измерения</w:t>
            </w:r>
          </w:p>
        </w:tc>
        <w:tc>
          <w:tcPr>
            <w:tcW w:w="17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Tempora LGC Uni" w:hAnsi="Tempora LGC Uni"/>
                <w:sz w:val="20"/>
                <w:szCs w:val="20"/>
              </w:rPr>
            </w:pPr>
            <w:r>
              <w:rPr>
                <w:rFonts w:ascii="Tempora LGC Uni" w:hAnsi="Tempora LGC Uni"/>
                <w:sz w:val="20"/>
                <w:szCs w:val="20"/>
              </w:rPr>
              <w:t>В приложении 1 к Соглашению от 26.03.2026 №16</w:t>
            </w:r>
          </w:p>
        </w:tc>
        <w:tc>
          <w:tcPr>
            <w:tcW w:w="141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Tempora LGC Uni" w:hAnsi="Tempora LGC Uni"/>
                <w:sz w:val="20"/>
                <w:szCs w:val="20"/>
              </w:rPr>
            </w:pPr>
            <w:r>
              <w:rPr>
                <w:rFonts w:ascii="Tempora LGC Uni" w:hAnsi="Tempora LGC Uni"/>
                <w:sz w:val="20"/>
                <w:szCs w:val="20"/>
              </w:rPr>
              <w:t>В форме 1 к Программе</w:t>
            </w:r>
          </w:p>
        </w:tc>
      </w:tr>
      <w:tr>
        <w:trPr>
          <w:trHeight w:val="413" w:hRule="atLeast"/>
        </w:trPr>
        <w:tc>
          <w:tcPr>
            <w:tcW w:w="5217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Tempora LGC Uni" w:hAnsi="Tempora LGC Uni"/>
                <w:sz w:val="20"/>
                <w:szCs w:val="20"/>
              </w:rPr>
            </w:pPr>
            <w:r>
              <w:rPr>
                <w:rFonts w:ascii="Tempora LGC Uni" w:hAnsi="Tempora LGC Uni"/>
                <w:sz w:val="20"/>
                <w:szCs w:val="20"/>
              </w:rPr>
              <w:t>Посевная площадь, занятая овощными культурами</w:t>
            </w:r>
          </w:p>
        </w:tc>
        <w:tc>
          <w:tcPr>
            <w:tcW w:w="1415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Tempora LGC Uni" w:hAnsi="Tempora LGC Uni"/>
                <w:sz w:val="20"/>
                <w:szCs w:val="20"/>
              </w:rPr>
            </w:pPr>
            <w:r>
              <w:rPr>
                <w:rFonts w:ascii="Tempora LGC Uni" w:hAnsi="Tempora LGC Uni"/>
                <w:sz w:val="20"/>
                <w:szCs w:val="20"/>
              </w:rPr>
              <w:t>гектар</w:t>
            </w:r>
          </w:p>
        </w:tc>
        <w:tc>
          <w:tcPr>
            <w:tcW w:w="1757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Tempora LGC Uni" w:hAnsi="Tempora LGC Uni"/>
                <w:sz w:val="20"/>
                <w:szCs w:val="20"/>
              </w:rPr>
            </w:pPr>
            <w:r>
              <w:rPr>
                <w:rFonts w:ascii="Tempora LGC Uni" w:hAnsi="Tempora LGC Uni"/>
                <w:sz w:val="20"/>
                <w:szCs w:val="20"/>
              </w:rPr>
              <w:t>1115,0</w:t>
            </w:r>
          </w:p>
        </w:tc>
        <w:tc>
          <w:tcPr>
            <w:tcW w:w="141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Tempora LGC Uni" w:hAnsi="Tempora LGC Uni"/>
                <w:sz w:val="20"/>
                <w:szCs w:val="20"/>
              </w:rPr>
            </w:pPr>
            <w:r>
              <w:rPr>
                <w:rFonts w:ascii="Tempora LGC Uni" w:hAnsi="Tempora LGC Uni"/>
                <w:sz w:val="20"/>
                <w:szCs w:val="20"/>
              </w:rPr>
              <w:t>1095,0</w:t>
            </w:r>
          </w:p>
        </w:tc>
      </w:tr>
      <w:tr>
        <w:trPr>
          <w:trHeight w:val="355" w:hRule="atLeast"/>
        </w:trPr>
        <w:tc>
          <w:tcPr>
            <w:tcW w:w="5217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Tempora LGC Uni" w:hAnsi="Tempora LGC Uni"/>
                <w:sz w:val="20"/>
                <w:szCs w:val="20"/>
              </w:rPr>
            </w:pPr>
            <w:r>
              <w:rPr>
                <w:rFonts w:ascii="Tempora LGC Uni" w:hAnsi="Tempora LGC Uni"/>
                <w:sz w:val="20"/>
                <w:szCs w:val="20"/>
              </w:rPr>
              <w:t>Посевная площадь, занятая картофелем</w:t>
            </w:r>
          </w:p>
        </w:tc>
        <w:tc>
          <w:tcPr>
            <w:tcW w:w="1415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Tempora LGC Uni" w:hAnsi="Tempora LGC Uni"/>
                <w:sz w:val="20"/>
                <w:szCs w:val="20"/>
              </w:rPr>
            </w:pPr>
            <w:r>
              <w:rPr>
                <w:rFonts w:ascii="Tempora LGC Uni" w:hAnsi="Tempora LGC Uni"/>
                <w:sz w:val="20"/>
                <w:szCs w:val="20"/>
              </w:rPr>
              <w:t>гектар</w:t>
            </w:r>
          </w:p>
        </w:tc>
        <w:tc>
          <w:tcPr>
            <w:tcW w:w="1757" w:type="dxa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Tempora LGC Uni" w:hAnsi="Tempora LGC Uni"/>
                <w:sz w:val="20"/>
                <w:szCs w:val="20"/>
              </w:rPr>
            </w:pPr>
            <w:r>
              <w:rPr>
                <w:rFonts w:ascii="Tempora LGC Uni" w:hAnsi="Tempora LGC Uni"/>
                <w:sz w:val="20"/>
                <w:szCs w:val="20"/>
              </w:rPr>
              <w:t>121,0</w:t>
            </w:r>
          </w:p>
        </w:tc>
        <w:tc>
          <w:tcPr>
            <w:tcW w:w="1414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contextualSpacing/>
              <w:jc w:val="center"/>
              <w:rPr>
                <w:rFonts w:ascii="Tempora LGC Uni" w:hAnsi="Tempora LGC Uni"/>
                <w:sz w:val="20"/>
                <w:szCs w:val="20"/>
              </w:rPr>
            </w:pPr>
            <w:r>
              <w:rPr>
                <w:rFonts w:ascii="Tempora LGC Uni" w:hAnsi="Tempora LGC Uni"/>
                <w:sz w:val="20"/>
                <w:szCs w:val="20"/>
              </w:rPr>
              <w:t>118,0</w:t>
            </w:r>
          </w:p>
        </w:tc>
      </w:tr>
    </w:tbl>
    <w:p>
      <w:pPr>
        <w:pStyle w:val="Normal"/>
        <w:spacing w:lineRule="auto" w:line="240" w:before="0" w:after="0"/>
        <w:contextualSpacing/>
        <w:rPr/>
      </w:pPr>
      <w:r>
        <w:rPr/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- в объем финансирования Программы, а именно в </w:t>
      </w:r>
      <w:r>
        <w:rPr>
          <w:rFonts w:ascii="Tempora LGC Uni" w:hAnsi="Tempora LGC Uni"/>
          <w:b/>
          <w:color w:val="000000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>
        <w:rPr>
          <w:rFonts w:ascii="Tempora LGC Uni" w:hAnsi="Tempora LGC Uni"/>
          <w:color w:val="000000"/>
          <w:sz w:val="26"/>
          <w:szCs w:val="26"/>
        </w:rPr>
        <w:t xml:space="preserve"> и в </w:t>
      </w:r>
      <w:r>
        <w:rPr>
          <w:rFonts w:ascii="Tempora LGC Uni" w:hAnsi="Tempora LGC Uni"/>
          <w:b/>
          <w:color w:val="000000"/>
          <w:sz w:val="26"/>
          <w:szCs w:val="26"/>
        </w:rPr>
        <w:t>раздел 5 текстовой части паспорта Программы</w:t>
      </w:r>
      <w:r>
        <w:rPr>
          <w:rFonts w:ascii="Tempora LGC Uni" w:hAnsi="Tempora LGC Uni"/>
          <w:color w:val="000000"/>
          <w:sz w:val="26"/>
          <w:szCs w:val="26"/>
        </w:rPr>
        <w:t xml:space="preserve"> </w:t>
      </w:r>
      <w:r>
        <w:rPr>
          <w:rFonts w:ascii="Tempora LGC Uni" w:hAnsi="Tempora LGC Uni"/>
          <w:b/>
          <w:color w:val="000000"/>
          <w:sz w:val="26"/>
          <w:szCs w:val="26"/>
        </w:rPr>
        <w:t>«Обоснование объема финансовых ресурсов, необходимых для реализации муниципальной программы»</w:t>
      </w:r>
      <w:r>
        <w:rPr>
          <w:rFonts w:ascii="Tempora LGC Uni" w:hAnsi="Tempora LGC Uni"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Общий объем финансирования действующей Программы  72950,558 тыс. руб. в том числе: средства федерального бюджета 32,08 тыс. руб., средства областного бюджета 57869,38 тыс. руб., средства бюджета Ленинского муниципального района 15049,098 тыс. руб. 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Предлагаемым проектом, вносятся изменения в объем финансирования Программы, который  составит 72981,178 тыс. руб., в том числе:</w:t>
      </w:r>
    </w:p>
    <w:p>
      <w:pPr>
        <w:pStyle w:val="Normal"/>
        <w:spacing w:lineRule="auto" w:line="240" w:before="0" w:after="0"/>
        <w:ind w:firstLine="708"/>
        <w:contextualSpacing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- средства федерального бюджета 32,08 тыс. руб., в том числе по годам:</w:t>
      </w:r>
    </w:p>
    <w:p>
      <w:pPr>
        <w:pStyle w:val="Normal"/>
        <w:shd w:val="clear" w:color="auto" w:fill="FFFFFF"/>
        <w:spacing w:lineRule="auto" w:line="240" w:before="0" w:after="0"/>
        <w:contextualSpacing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2025 год   32,08 тыс. руб.;</w:t>
      </w:r>
    </w:p>
    <w:p>
      <w:pPr>
        <w:pStyle w:val="ListParagraph"/>
        <w:spacing w:lineRule="auto" w:line="240" w:before="0" w:after="0"/>
        <w:ind w:firstLine="708" w:left="0"/>
        <w:contextualSpacing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- средства областного бюджета 57900,0 тыс. руб., в т. ч. по годам:</w:t>
      </w:r>
    </w:p>
    <w:p>
      <w:pPr>
        <w:pStyle w:val="Normal"/>
        <w:shd w:val="clear" w:color="auto" w:fill="FFFFFF"/>
        <w:spacing w:lineRule="auto" w:line="240" w:before="0" w:after="0"/>
        <w:contextualSpacing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2018 год         0,00 тыс. руб.;</w:t>
      </w:r>
    </w:p>
    <w:p>
      <w:pPr>
        <w:pStyle w:val="Normal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2019 год   5000,00 тыс. руб.;</w:t>
        <w:tab/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2020 год   6619,50 тыс. руб.;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2021 год   6619,50  тыс. руб.;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2022 год   8302,85 тыс. руб.;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2023 год   8492,86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2024 год   8664,89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2025 год   8753,58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2026 год   5446,82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2027 год         0,0 тыс. руб.;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2028 год         0,0 тыс. руб.;</w:t>
      </w:r>
    </w:p>
    <w:p>
      <w:pPr>
        <w:pStyle w:val="ListParagraph"/>
        <w:ind w:firstLine="708" w:left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- средства бюджета Ленинского муниципального района 15049,098 тыс. руб., в т. ч. по годам: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2018 год       72,00 тыс. руб.;</w:t>
      </w:r>
    </w:p>
    <w:p>
      <w:pPr>
        <w:pStyle w:val="Normal"/>
        <w:shd w:val="clear" w:color="auto" w:fill="FFFFFF"/>
        <w:tabs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center" w:pos="4734" w:leader="none"/>
        </w:tabs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2019 год       39,954 тыс. руб.;</w:t>
        <w:tab/>
      </w:r>
    </w:p>
    <w:p>
      <w:pPr>
        <w:pStyle w:val="Normal"/>
        <w:tabs>
          <w:tab w:val="clear" w:pos="708"/>
          <w:tab w:val="left" w:pos="1704" w:leader="none"/>
        </w:tabs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2020 год   1106,314 тыс. руб.;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2021 год     735,50 тыс. руб.;</w:t>
      </w:r>
    </w:p>
    <w:p>
      <w:pPr>
        <w:pStyle w:val="Normal"/>
        <w:tabs>
          <w:tab w:val="clear" w:pos="708"/>
          <w:tab w:val="left" w:pos="1704" w:leader="none"/>
        </w:tabs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2022 год   4386,44 тыс. руб.;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2023 год     943,65 тыс. руб.;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2024 год     940,55 тыс. руб.;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2025 год     972,17 тыс. руб.;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2026 год   1950,84 тыс. руб.;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2027 год   1950,84 тыс. руб.;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2028 год   1950,84 тыс. руб.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b w:val="false"/>
          <w:bCs w:val="false"/>
          <w:color w:val="000000"/>
          <w:sz w:val="26"/>
          <w:szCs w:val="26"/>
        </w:rPr>
      </w:pP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>Таким образом, предлагаемым проектом Постановления предусмотрено увеличение объема финансирования на реализацию Программы в 2026 году за счет средств  областного бюджета на 30,62 тыс. руб.;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- в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раздел 4 подраздел 4.5 текстовой части паспорта Программы «Пополнение водой водных объектов, требующих периодического пополнения от оросительно-обводнительных систем в сельских поселениях Ленинского муниципального района»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 xml:space="preserve">, где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 xml:space="preserve"> 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>уменьшены объемы пополнения водой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 xml:space="preserve"> </w:t>
      </w:r>
      <w:r>
        <w:rPr>
          <w:rFonts w:ascii="Tempora LGC Uni" w:hAnsi="Tempora LGC Uni"/>
          <w:b w:val="false"/>
          <w:bCs w:val="false"/>
          <w:color w:val="000000"/>
          <w:sz w:val="26"/>
          <w:szCs w:val="26"/>
        </w:rPr>
        <w:t>водных объектов поселений (Ильичевское, Коммунаровское, Маякское, Рассветинское, Степное) как в количественном, так и в денежном выражении на 2026 год.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форму 1</w:t>
      </w:r>
      <w:r>
        <w:rPr>
          <w:rFonts w:ascii="Tempora LGC Uni" w:hAnsi="Tempora LGC Uni"/>
          <w:color w:val="000000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форму 2</w:t>
      </w:r>
      <w:r>
        <w:rPr>
          <w:rFonts w:ascii="Tempora LGC Uni" w:hAnsi="Tempora LGC Uni"/>
          <w:color w:val="000000"/>
          <w:sz w:val="26"/>
          <w:szCs w:val="26"/>
        </w:rPr>
        <w:t xml:space="preserve"> «Перечень мероприятий муниципальной программы Ленинского муниципального района» и </w:t>
      </w:r>
      <w:r>
        <w:rPr>
          <w:rFonts w:ascii="Tempora LGC Uni" w:hAnsi="Tempora LGC Uni"/>
          <w:b/>
          <w:bCs/>
          <w:color w:val="000000"/>
          <w:sz w:val="26"/>
          <w:szCs w:val="26"/>
        </w:rPr>
        <w:t>форму 3</w:t>
      </w:r>
      <w:r>
        <w:rPr>
          <w:rFonts w:ascii="Tempora LGC Uni" w:hAnsi="Tempora LGC Uni"/>
          <w:color w:val="000000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firstLine="708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Spacing"/>
        <w:ind w:firstLine="36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b/>
          <w:color w:val="000000"/>
          <w:sz w:val="26"/>
          <w:szCs w:val="26"/>
          <w:u w:val="single"/>
        </w:rPr>
        <w:t>Вывод:</w:t>
      </w:r>
      <w:r>
        <w:rPr>
          <w:rFonts w:ascii="Tempora LGC Uni" w:hAnsi="Tempora LGC Uni"/>
          <w:color w:val="000000"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ind w:firstLine="709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cs="Times New Roman" w:ascii="Tempora LGC Uni" w:hAnsi="Tempora LGC Uni"/>
          <w:color w:val="000000"/>
          <w:sz w:val="26"/>
          <w:szCs w:val="26"/>
        </w:rPr>
        <w:t xml:space="preserve"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04.10.2017г.  №466  «Об утверждении муниципальной  программы Ленинского муниципального района «Развитие агропромышленного комплекса Ленинского муниципального района» возможным к утверждению </w:t>
      </w:r>
      <w:r>
        <w:rPr>
          <w:rFonts w:ascii="Times New Roman" w:hAnsi="Times New Roman"/>
          <w:b/>
          <w:color w:themeColor="text1" w:val="000000"/>
          <w:sz w:val="26"/>
          <w:szCs w:val="26"/>
        </w:rPr>
        <w:t>только</w:t>
      </w:r>
      <w:r>
        <w:rPr>
          <w:rFonts w:ascii="Times New Roman" w:hAnsi="Times New Roman"/>
          <w:color w:themeColor="text1" w:val="000000"/>
          <w:sz w:val="26"/>
          <w:szCs w:val="26"/>
        </w:rPr>
        <w:t xml:space="preserve"> </w:t>
      </w:r>
      <w:r>
        <w:rPr>
          <w:rFonts w:ascii="Times New Roman" w:hAnsi="Times New Roman"/>
          <w:b/>
          <w:color w:themeColor="text1" w:val="000000"/>
          <w:sz w:val="26"/>
          <w:szCs w:val="26"/>
        </w:rPr>
        <w:t xml:space="preserve">после внесения соответствующих изменений </w:t>
      </w:r>
      <w:r>
        <w:rPr>
          <w:rFonts w:ascii="Times New Roman" w:hAnsi="Times New Roman"/>
          <w:color w:themeColor="text1" w:val="000000"/>
          <w:sz w:val="26"/>
          <w:szCs w:val="26"/>
        </w:rPr>
        <w:t xml:space="preserve">в форму 1 к Программе </w:t>
      </w:r>
      <w:r>
        <w:rPr>
          <w:rFonts w:ascii="Tempora LGC Uni" w:hAnsi="Tempora LGC Uni"/>
          <w:color w:val="000000"/>
          <w:sz w:val="26"/>
          <w:szCs w:val="26"/>
        </w:rPr>
        <w:t xml:space="preserve">«Перечень целевых показателей достижения поставленных целей и задач муниципальной программы Ленинского муниципального района». </w:t>
      </w:r>
      <w:r>
        <w:rPr>
          <w:rFonts w:ascii="Times New Roman" w:hAnsi="Times New Roman"/>
          <w:color w:themeColor="text1" w:val="000000"/>
          <w:sz w:val="26"/>
          <w:szCs w:val="26"/>
        </w:rPr>
        <w:t>В соответствии с п.4.9. Порядка, утвержденного Постановлением №573, проинформировать Контрольно-счетную палату в течение 3-х дней об устранении установленных нарушений.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Председатель Контрольно-счетной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  <w:t>района                                                                                                                Т.В.Мололкина</w:t>
      </w:r>
    </w:p>
    <w:p>
      <w:pPr>
        <w:pStyle w:val="Normal"/>
        <w:spacing w:lineRule="auto" w:line="240" w:before="0" w:after="0"/>
        <w:jc w:val="both"/>
        <w:rPr>
          <w:rFonts w:ascii="Tempora LGC Uni" w:hAnsi="Tempora LGC Uni"/>
          <w:color w:val="000000"/>
          <w:sz w:val="26"/>
          <w:szCs w:val="26"/>
        </w:rPr>
      </w:pPr>
      <w:r>
        <w:rPr>
          <w:rFonts w:ascii="Tempora LGC Uni" w:hAnsi="Tempora LGC Uni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left="4820"/>
        <w:jc w:val="right"/>
        <w:rPr>
          <w:color w:val="000000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</w:t>
      </w:r>
    </w:p>
    <w:sectPr>
      <w:footerReference w:type="default" r:id="rId3"/>
      <w:type w:val="nextPage"/>
      <w:pgSz w:w="11906" w:h="16838"/>
      <w:pgMar w:left="1304" w:right="567" w:gutter="0" w:header="0" w:top="510" w:footer="510" w:bottom="56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0" w:name="PageNumWizard_FOOTER_Базовый1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0"/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f32f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4">
    <w:name w:val="Heading 4"/>
    <w:basedOn w:val="Style16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Нижний колонтитул Знак"/>
    <w:basedOn w:val="DefaultParagraphFont"/>
    <w:uiPriority w:val="99"/>
    <w:qFormat/>
    <w:rsid w:val="00b15827"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b15827"/>
    <w:rPr>
      <w:rFonts w:ascii="Tahoma" w:hAnsi="Tahoma" w:cs="Tahoma"/>
      <w:sz w:val="16"/>
      <w:szCs w:val="16"/>
    </w:rPr>
  </w:style>
  <w:style w:type="character" w:styleId="Style15" w:customStyle="1">
    <w:name w:val="Основной текст Знак"/>
    <w:basedOn w:val="DefaultParagraphFont"/>
    <w:qFormat/>
    <w:rsid w:val="00de74ff"/>
    <w:rPr>
      <w:rFonts w:ascii="Calibri" w:hAnsi="Calibri" w:eastAsia="Calibri" w:cs="Times New Roman"/>
      <w:lang w:eastAsia="en-US"/>
    </w:rPr>
  </w:style>
  <w:style w:type="character" w:styleId="LineNumber">
    <w:name w:val="Line Number"/>
    <w:rPr/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5"/>
    <w:rsid w:val="00de74ff"/>
    <w:pPr>
      <w:spacing w:lineRule="auto" w:line="240" w:before="0" w:after="120"/>
      <w:jc w:val="center"/>
    </w:pPr>
    <w:rPr>
      <w:rFonts w:ascii="Calibri" w:hAnsi="Calibri" w:eastAsia="Calibri" w:cs="Times New Roman"/>
      <w:lang w:eastAsia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Lohit Devanagari"/>
    </w:rPr>
  </w:style>
  <w:style w:type="paragraph" w:styleId="1" w:customStyle="1">
    <w:name w:val="Обычный1"/>
    <w:qFormat/>
    <w:rsid w:val="00b15827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8">
    <w:name w:val="Колонтитул"/>
    <w:basedOn w:val="Normal"/>
    <w:qFormat/>
    <w:pPr/>
    <w:rPr/>
  </w:style>
  <w:style w:type="paragraph" w:styleId="Footer">
    <w:name w:val="Footer"/>
    <w:basedOn w:val="Normal"/>
    <w:link w:val="Style13"/>
    <w:uiPriority w:val="99"/>
    <w:unhideWhenUsed/>
    <w:rsid w:val="00b15827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b15827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1" w:customStyle="1">
    <w:name w:val="1"/>
    <w:qFormat/>
    <w:rsid w:val="00d0182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qFormat/>
    <w:rsid w:val="004b1551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ListParagraph">
    <w:name w:val="List Paragraph"/>
    <w:basedOn w:val="Normal"/>
    <w:qFormat/>
    <w:rsid w:val="00f72a68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Standard" w:customStyle="1">
    <w:name w:val="Standard"/>
    <w:qFormat/>
    <w:rsid w:val="002f43e8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ConsPlusNormal" w:customStyle="1">
    <w:name w:val="ConsPlusNormal"/>
    <w:qFormat/>
    <w:rsid w:val="006326a0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5EBEE-1494-408B-9B11-394C00929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6430</TotalTime>
  <Application>LibreOffice/7.6.0.3$Linux_X86_64 LibreOffice_project/60$Build-3</Application>
  <AppVersion>15.0000</AppVersion>
  <Pages>4</Pages>
  <Words>1336</Words>
  <Characters>9841</Characters>
  <CharactersWithSpaces>11423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2015-11-18T13:40:00Z</dcterms:created>
  <dc:creator>Суховеева</dc:creator>
  <dc:description/>
  <dc:language>ru-RU</dc:language>
  <cp:lastModifiedBy/>
  <cp:lastPrinted>2025-12-24T14:02:07Z</cp:lastPrinted>
  <dcterms:modified xsi:type="dcterms:W3CDTF">2026-05-13T09:09:40Z</dcterms:modified>
  <cp:revision>96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